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OBWIESZCZENIE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Prezydent Miasta Tychy podaje do publicznej wiadomości wykaz nieruchomości </w:t>
        <w:br/>
        <w:t>przeznaczonej do bezprzetargowego wydzierżawienia</w:t>
      </w:r>
    </w:p>
    <w:tbl>
      <w:tblPr>
        <w:tblStyle w:val="Tabela-Siatka"/>
        <w:tblW w:w="10002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9"/>
        <w:gridCol w:w="4537"/>
        <w:gridCol w:w="5436"/>
      </w:tblGrid>
      <w:tr>
        <w:trPr>
          <w:trHeight w:val="698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OZNACZENIE NIERUCHOMOŚCI WEDŁUG KSIĘGI WIECZYSTEJ </w:t>
              <w:br/>
              <w:t>ORAZ KATASTRU NIERUCHOMOŚCI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KATASTRU NIERUCHOMOŚCI (GRUNT)</w:t>
            </w:r>
            <w:bookmarkStart w:id="0" w:name="_Hlk197515194"/>
            <w:bookmarkEnd w:id="0"/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  <w:bookmarkStart w:id="1" w:name="_Hlk197515118"/>
            <w:bookmarkEnd w:id="1"/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2812/86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247701_1.0001.AR_5.2812/86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Krucza</w:t>
            </w:r>
          </w:p>
        </w:tc>
      </w:tr>
      <w:tr>
        <w:trPr>
          <w:trHeight w:val="136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0,0535ha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użytek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Bz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arkusz mapy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5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KSIĘGI WIECZYSTEJ (GRUNT)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2812/86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247701_1.0001.AR_5.2812/86</w:t>
            </w:r>
          </w:p>
        </w:tc>
      </w:tr>
      <w:tr>
        <w:trPr>
          <w:trHeight w:val="150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 ewidencyjny (numer, nazwa)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95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247701_1.0001,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położenie (numer porządkowy /województwo,  gmina, miejscowość)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śląskie, Tychy M.,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Krucza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sposób korzystania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Bz–tereny rekreacyjno-wypoczynkowe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 łączna księgi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0,1056 ha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ilość nieruchomości, dla których prowadzona jest księga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numer, pod którym wpisana jest działka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1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POWIERZCHNIA NIERUCHOMOŚCI DO WYDZIERŻAWIENIA</w:t>
            </w:r>
          </w:p>
        </w:tc>
      </w:tr>
      <w:tr>
        <w:trPr>
          <w:trHeight w:val="268" w:hRule="atLeast"/>
        </w:trPr>
        <w:tc>
          <w:tcPr>
            <w:tcW w:w="1000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20 m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OPIS NIERUCHOMOŚCI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pl-PL" w:eastAsia="en-US" w:bidi="ar-SA"/>
              </w:rPr>
              <w:t xml:space="preserve">Teren do dzierżawy stanowi teren pomiędzy ogrodzeniem placu zabaw a ogrodzeniem własności prywatnej. Porośnięty jest thujami </w:t>
              <w:br/>
              <w:t>i wysoką trawą.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PRZEZNACZENIE NIERUCHOMOŚCI I SPOSÓB JEJ ZAGOSPODAROWANIA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Działka objęta jest  Uchwałą nr XXXIII/525/17 Rady Miasta Tychy z 30.03.2017 r. w sprawie miejscowego planu zagospodarowania przestrzennego dla obszaru dla osiedla Mąkołowiec w Tychach – etap I. Zgodnie z uchwałą wskazana działka położona jest w terenie sportu i rekreacji, oznaczonym symbolem </w:t>
            </w: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US1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FORMA I CEL UDOSTĘPNIENIA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Bezprzetargowe wydzierżawienie gruntu na cele dojazdu o pow. 20 m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, na czas nieoznaczony, na rzecz wnioskodawcy.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WYSOKOŚĆ OPŁAT Z TYTUŁU DZIERŻAWY</w:t>
            </w:r>
          </w:p>
        </w:tc>
      </w:tr>
      <w:tr>
        <w:trPr>
          <w:trHeight w:val="135" w:hRule="atLeast"/>
        </w:trPr>
        <w:tc>
          <w:tcPr>
            <w:tcW w:w="1000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Stawka czynszu wynosi netto 3,30 zł  plus 23 % 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podatek VAT za 1 m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vertAlign w:val="superscript"/>
                <w:lang w:val="pl-PL" w:eastAsia="en-US" w:bidi="ar-SA"/>
              </w:rPr>
              <w:t xml:space="preserve">2 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w stosunku rocznym.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TERMINY WNOSZENIA CZYNSZU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Czynsz jest płatny do 30 kwietnia każdego roku.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ZASADY AKTUALIZACJI OPŁAT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vertAnchor="text" w:horzAnchor="text" w:leftFromText="141" w:rightFromText="141" w:tblpX="0" w:tblpY="247"/>
        <w:tblW w:w="1003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DODATKOWE INFORMACJE O OPŁATACH</w:t>
            </w:r>
          </w:p>
        </w:tc>
      </w:tr>
      <w:tr>
        <w:trPr/>
        <w:tc>
          <w:tcPr>
            <w:tcW w:w="10031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 przypadku uzyskania przez dzierżawców nieruchomości zgody na ich poddzierżawę, następuje podwyższenie stawki czynszu o 50%;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Kwota czynszu z tytułu dzierżawy nie może być niższa niż 100,00 zł netto w stosunku rocznym;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W przypadku, gdy łączna kwota czynszu dzierżawnego w skali roku wynosi 100,00 zł czynsz płatny jest jednorazowo </w:t>
              <w:br/>
              <w:t>w terminie do 30 kwietnia każdego roku;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stawka czynszu została ustalona na podstawie Zarządzenia Nr 0050/397/24 Prezydenta Miasta Tychy z dnia 18 listopada </w:t>
              <w:br/>
              <w:t xml:space="preserve">2024 roku w sprawie wysokości stawek czynszu za dzierżawę / najem nieruchomości gruntowych stanowiących własność </w:t>
              <w:br/>
              <w:t xml:space="preserve">/ użytkowanie wieczyste Gminy Miasta Tychy oraz opłat za korzystanie z nieruchomości gruntowych Gminy Miasta Tychy </w:t>
              <w:br/>
              <w:t>bez tytułu prawnego wraz z załącznikami nr 1-5.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/>
      <w:r>
        <w:rPr>
          <w:rFonts w:cs="Arial" w:ascii="Arial" w:hAnsi="Arial"/>
          <w:b/>
          <w:bCs/>
          <w:sz w:val="16"/>
          <w:szCs w:val="16"/>
        </w:rPr>
        <w:t>PODSTAWA PRAWNA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  <w:t xml:space="preserve">Art. 35 </w:t>
      </w:r>
      <w:r>
        <w:rPr>
          <w:rFonts w:cs="Arial" w:ascii="Arial" w:hAnsi="Arial"/>
          <w:i/>
          <w:iCs/>
          <w:sz w:val="16"/>
          <w:szCs w:val="16"/>
        </w:rPr>
        <w:t>ustawy z 21 sierpnia 1997 roku o gospodarce nieruchomościami (Dz. U. z 2026, poz. 399 t.j.)</w:t>
      </w:r>
    </w:p>
    <w:p>
      <w:pPr>
        <w:pStyle w:val="Normal"/>
        <w:ind w:end="-425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  <w:br/>
        <w:t xml:space="preserve">w użytkowanie, najem, dzierżawę lub użyczenie. Wykaz ten wywiesza się na okres 21 dni w siedzibie właściwego urzędu,                                 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  <w:br/>
        <w:t>o zasięgu obejmującym co najmniej powiat, na terenie którego położona jest nieruchomość.</w:t>
      </w:r>
    </w:p>
    <w:p>
      <w:pPr>
        <w:pStyle w:val="Normal"/>
        <w:ind w:start="6372"/>
        <w:jc w:val="center"/>
        <w:rPr>
          <w:rFonts w:ascii="Arial" w:hAnsi="Arial" w:cs="Arial"/>
          <w:sz w:val="16"/>
          <w:szCs w:val="18"/>
        </w:rPr>
      </w:pPr>
      <w:bookmarkStart w:id="2" w:name="_GoBack"/>
      <w:r>
        <w:rPr>
          <w:rFonts w:cs="Arial" w:ascii="Arial" w:hAnsi="Arial"/>
          <w:sz w:val="16"/>
          <w:szCs w:val="18"/>
        </w:rPr>
        <w:t xml:space="preserve">  </w:t>
      </w:r>
      <w:r>
        <w:rPr>
          <w:rFonts w:cs="Arial" w:ascii="Arial" w:hAnsi="Arial"/>
          <w:color w:val="000000"/>
          <w:sz w:val="18"/>
          <w:szCs w:val="18"/>
        </w:rPr>
        <w:t>z up. PREZYDENTA MIASTA</w:t>
        <w:br/>
        <w:t>/-/ mgr Katarzyna Szymkowska</w:t>
        <w:br/>
        <w:t>Naczelnik Wydziału Gospodarki</w:t>
        <w:br/>
        <w:t>Nieruchomościami</w:t>
      </w:r>
      <w:r>
        <w:rPr>
          <w:rFonts w:cs="Arial" w:ascii="Arial" w:hAnsi="Arial"/>
          <w:color w:val="000000"/>
          <w:sz w:val="16"/>
          <w:szCs w:val="18"/>
        </w:rPr>
        <w:t xml:space="preserve">  </w:t>
      </w:r>
      <w:bookmarkEnd w:id="2"/>
    </w:p>
    <w:p>
      <w:pPr>
        <w:pStyle w:val="Normal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cs="Arial" w:ascii="Arial" w:hAnsi="Arial"/>
          <w:i/>
          <w:iCs/>
          <w:color w:val="000000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160"/>
        <w:jc w:val="both"/>
        <w:rPr>
          <w:rFonts w:ascii="Arial" w:hAnsi="Arial" w:cs="Arial"/>
          <w:sz w:val="14"/>
          <w:szCs w:val="12"/>
        </w:rPr>
      </w:pPr>
      <w:r>
        <w:rPr>
          <w:rFonts w:cs="Arial" w:ascii="Arial" w:hAnsi="Arial"/>
          <w:sz w:val="14"/>
          <w:szCs w:val="12"/>
        </w:rPr>
        <w:t>Sporz. A.Kubiak</w:t>
      </w:r>
    </w:p>
    <w:sectPr>
      <w:type w:val="nextPage"/>
      <w:pgSz w:w="11906" w:h="16838"/>
      <w:pgMar w:left="1417" w:right="1133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5677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273c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273c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273c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273c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273c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273c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273c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273c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273c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273c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273c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273c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273cc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273c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273cc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50f72"/>
    <w:rPr>
      <w:color w:themeColor="hyperlink" w:val="467886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950f72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7e0664"/>
    <w:rPr>
      <w:sz w:val="20"/>
      <w:szCs w:val="20"/>
    </w:rPr>
  </w:style>
  <w:style w:type="character" w:styleId="Znakiprzypiswkocowychuser">
    <w:name w:val="Znaki przypisów końcowych (user)"/>
    <w:uiPriority w:val="99"/>
    <w:semiHidden/>
    <w:unhideWhenUsed/>
    <w:qFormat/>
    <w:rsid w:val="007e0664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9273c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9273c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273c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273c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e0664"/>
    <w:pPr>
      <w:spacing w:lineRule="auto" w:line="240" w:before="0" w:after="0"/>
    </w:pPr>
    <w:rPr>
      <w:sz w:val="20"/>
      <w:szCs w:val="20"/>
    </w:rPr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da6b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D3A5-C37F-4227-A721-2EB820B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LibreOffice/26.2.3.2$Windows_X86_64 LibreOffice_project/70e089b17412e4cb7773e41413306b17a2328c34</Application>
  <AppVersion>15.0000</AppVersion>
  <Pages>1</Pages>
  <Words>490</Words>
  <Characters>3157</Characters>
  <CharactersWithSpaces>3627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2026-04-02T07:01:00Z</dcterms:created>
  <dc:creator>Martyna Rzemińska</dc:creator>
  <dc:description/>
  <dc:language>pl-PL</dc:language>
  <cp:lastModifiedBy/>
  <cp:lastPrinted>2026-06-03T09:14:10Z</cp:lastPrinted>
  <dcterms:modified xsi:type="dcterms:W3CDTF">2026-06-09T10:52:23Z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