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5C7D" w14:textId="670C676B" w:rsidR="00742C97" w:rsidRDefault="003D146B" w:rsidP="00543A9C">
      <w:pPr>
        <w:spacing w:after="0" w:line="240" w:lineRule="auto"/>
        <w:ind w:left="6369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pict w14:anchorId="43E536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pt;margin-top:25.15pt;width:137.2pt;height:25.15pt;z-index:251658240;mso-width-relative:margin;mso-height-relative:margin" stroked="f">
            <v:textbox style="mso-next-textbox:#_x0000_s1026">
              <w:txbxContent>
                <w:p w14:paraId="0F4A95BC" w14:textId="77777777" w:rsidR="00AB7B08" w:rsidRDefault="00AB7B08" w:rsidP="00E5319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KONTROLI</w:t>
                  </w:r>
                </w:p>
              </w:txbxContent>
            </v:textbox>
          </v:shape>
        </w:pict>
      </w:r>
      <w:r w:rsidR="00543A9C">
        <w:rPr>
          <w:rFonts w:ascii="Arial" w:hAnsi="Arial" w:cs="Arial"/>
        </w:rPr>
        <w:t xml:space="preserve">Tychy, </w:t>
      </w:r>
      <w:r w:rsidR="00DA61CB">
        <w:rPr>
          <w:rFonts w:ascii="Arial" w:hAnsi="Arial" w:cs="Arial"/>
        </w:rPr>
        <w:t>24</w:t>
      </w:r>
      <w:r w:rsidR="00543A9C">
        <w:rPr>
          <w:rFonts w:ascii="Arial" w:hAnsi="Arial" w:cs="Arial"/>
        </w:rPr>
        <w:t xml:space="preserve"> kwietnia 2024 r.</w:t>
      </w:r>
    </w:p>
    <w:p w14:paraId="6679E573" w14:textId="4880FBF4" w:rsidR="00543A9C" w:rsidRDefault="00543A9C" w:rsidP="00543A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DUK.1711.2.2024 </w:t>
      </w:r>
    </w:p>
    <w:p w14:paraId="3F8D982D" w14:textId="77777777" w:rsidR="00543A9C" w:rsidRDefault="00543A9C" w:rsidP="00543A9C">
      <w:pPr>
        <w:spacing w:after="0" w:line="240" w:lineRule="auto"/>
        <w:rPr>
          <w:rFonts w:ascii="Arial" w:hAnsi="Arial" w:cs="Arial"/>
        </w:rPr>
      </w:pPr>
    </w:p>
    <w:p w14:paraId="31770F7D" w14:textId="60106646" w:rsidR="00543A9C" w:rsidRPr="00543A9C" w:rsidRDefault="00543A9C" w:rsidP="00543A9C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3A9C">
        <w:rPr>
          <w:rFonts w:ascii="Arial" w:hAnsi="Arial" w:cs="Arial"/>
          <w:b/>
          <w:bCs/>
        </w:rPr>
        <w:t>Pani</w:t>
      </w:r>
    </w:p>
    <w:p w14:paraId="10BD1F49" w14:textId="1AEE9ADB" w:rsidR="00543A9C" w:rsidRPr="00543A9C" w:rsidRDefault="00543A9C" w:rsidP="00543A9C">
      <w:pPr>
        <w:spacing w:after="0" w:line="360" w:lineRule="auto"/>
        <w:rPr>
          <w:rFonts w:ascii="Arial" w:hAnsi="Arial" w:cs="Arial"/>
          <w:b/>
          <w:bCs/>
        </w:rPr>
      </w:pP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="00FB3949">
        <w:rPr>
          <w:rFonts w:ascii="Arial" w:hAnsi="Arial" w:cs="Arial"/>
          <w:b/>
          <w:bCs/>
        </w:rPr>
        <w:t xml:space="preserve">mgr </w:t>
      </w:r>
      <w:r w:rsidRPr="00543A9C">
        <w:rPr>
          <w:rFonts w:ascii="Arial" w:hAnsi="Arial" w:cs="Arial"/>
          <w:b/>
          <w:bCs/>
        </w:rPr>
        <w:t>Dorota Gnacik</w:t>
      </w:r>
    </w:p>
    <w:p w14:paraId="6DC18AA7" w14:textId="77777777" w:rsidR="00543A9C" w:rsidRPr="00543A9C" w:rsidRDefault="00543A9C" w:rsidP="00543A9C">
      <w:pPr>
        <w:spacing w:after="0" w:line="360" w:lineRule="auto"/>
        <w:rPr>
          <w:rFonts w:ascii="Arial" w:hAnsi="Arial" w:cs="Arial"/>
          <w:b/>
          <w:bCs/>
        </w:rPr>
      </w:pP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</w:r>
      <w:r w:rsidRPr="00543A9C">
        <w:rPr>
          <w:rFonts w:ascii="Arial" w:hAnsi="Arial" w:cs="Arial"/>
          <w:b/>
          <w:bCs/>
        </w:rPr>
        <w:tab/>
        <w:t xml:space="preserve">Dyrektor </w:t>
      </w:r>
    </w:p>
    <w:p w14:paraId="2D35B4EE" w14:textId="58346989" w:rsidR="00543A9C" w:rsidRPr="00543A9C" w:rsidRDefault="00543A9C" w:rsidP="00543A9C">
      <w:pPr>
        <w:spacing w:after="0" w:line="360" w:lineRule="auto"/>
        <w:ind w:left="5157" w:firstLine="573"/>
        <w:rPr>
          <w:rFonts w:ascii="Arial" w:hAnsi="Arial" w:cs="Arial"/>
          <w:b/>
          <w:bCs/>
        </w:rPr>
      </w:pPr>
      <w:r w:rsidRPr="00543A9C">
        <w:rPr>
          <w:rFonts w:ascii="Arial" w:hAnsi="Arial" w:cs="Arial"/>
          <w:b/>
          <w:bCs/>
        </w:rPr>
        <w:t>Miejskiego Centrum Oświaty</w:t>
      </w:r>
    </w:p>
    <w:p w14:paraId="2066BF75" w14:textId="4CE7FFBE" w:rsidR="00543A9C" w:rsidRDefault="00543A9C" w:rsidP="00543A9C">
      <w:pPr>
        <w:spacing w:after="0" w:line="360" w:lineRule="auto"/>
        <w:ind w:left="5157" w:firstLine="573"/>
        <w:rPr>
          <w:rFonts w:ascii="Arial" w:hAnsi="Arial" w:cs="Arial"/>
          <w:b/>
          <w:bCs/>
        </w:rPr>
      </w:pPr>
      <w:r w:rsidRPr="00543A9C">
        <w:rPr>
          <w:rFonts w:ascii="Arial" w:hAnsi="Arial" w:cs="Arial"/>
          <w:b/>
          <w:bCs/>
        </w:rPr>
        <w:t>w Tychach</w:t>
      </w:r>
    </w:p>
    <w:p w14:paraId="7C00ACE5" w14:textId="77777777" w:rsidR="00DA4B9F" w:rsidRDefault="00DA4B9F" w:rsidP="00543A9C">
      <w:pPr>
        <w:spacing w:after="0" w:line="360" w:lineRule="auto"/>
        <w:rPr>
          <w:rFonts w:ascii="Arial" w:hAnsi="Arial" w:cs="Arial"/>
          <w:b/>
          <w:bCs/>
        </w:rPr>
      </w:pPr>
    </w:p>
    <w:p w14:paraId="2A1EF747" w14:textId="01013B09" w:rsidR="0090613C" w:rsidRDefault="00DA4B9F" w:rsidP="00DA4B9F">
      <w:pPr>
        <w:spacing w:after="0" w:line="360" w:lineRule="auto"/>
        <w:jc w:val="both"/>
        <w:rPr>
          <w:rFonts w:ascii="Arial" w:hAnsi="Arial" w:cs="Arial"/>
        </w:rPr>
      </w:pPr>
      <w:r w:rsidRPr="00DA4B9F">
        <w:rPr>
          <w:rFonts w:ascii="Arial" w:hAnsi="Arial" w:cs="Arial"/>
        </w:rPr>
        <w:t>W odpowiedzi na uwagi do protokołu wniesione pismem nr MCO-GK.0132.1.2024</w:t>
      </w:r>
      <w:r>
        <w:rPr>
          <w:rFonts w:ascii="Arial" w:hAnsi="Arial" w:cs="Arial"/>
        </w:rPr>
        <w:t xml:space="preserve"> z 9 kwietnia 2024 r. (data wpływu do Wydziału: 11.04.2024 r.)  </w:t>
      </w:r>
      <w:r w:rsidR="0090613C">
        <w:rPr>
          <w:rFonts w:ascii="Arial" w:hAnsi="Arial" w:cs="Arial"/>
        </w:rPr>
        <w:t>wyjaśniam:</w:t>
      </w:r>
    </w:p>
    <w:p w14:paraId="3184A863" w14:textId="59EE2323" w:rsidR="00FB3949" w:rsidRDefault="0090613C" w:rsidP="00FB3949">
      <w:pPr>
        <w:spacing w:after="0" w:line="360" w:lineRule="auto"/>
        <w:ind w:firstLine="462"/>
        <w:jc w:val="both"/>
        <w:rPr>
          <w:rFonts w:ascii="Arial" w:eastAsia="Segoe UI" w:hAnsi="Arial" w:cs="Arial"/>
          <w:spacing w:val="-2"/>
        </w:rPr>
      </w:pPr>
      <w:r w:rsidRPr="00FB3949">
        <w:rPr>
          <w:rFonts w:ascii="Arial" w:hAnsi="Arial" w:cs="Arial"/>
        </w:rPr>
        <w:t xml:space="preserve">W odniesieniu do zwrotu nadpłaty w kwocie 5,20 </w:t>
      </w:r>
      <w:r w:rsidR="00504328" w:rsidRPr="00FB3949">
        <w:rPr>
          <w:rFonts w:ascii="Arial" w:hAnsi="Arial" w:cs="Arial"/>
        </w:rPr>
        <w:t>zł w</w:t>
      </w:r>
      <w:r w:rsidRPr="00FB3949">
        <w:rPr>
          <w:rFonts w:ascii="Arial" w:hAnsi="Arial" w:cs="Arial"/>
        </w:rPr>
        <w:t xml:space="preserve"> przedmiotowym piś</w:t>
      </w:r>
      <w:r w:rsidR="00B0418C" w:rsidRPr="00FB3949">
        <w:rPr>
          <w:rFonts w:ascii="Arial" w:hAnsi="Arial" w:cs="Arial"/>
        </w:rPr>
        <w:t>m</w:t>
      </w:r>
      <w:r w:rsidRPr="00FB3949">
        <w:rPr>
          <w:rFonts w:ascii="Arial" w:hAnsi="Arial" w:cs="Arial"/>
        </w:rPr>
        <w:t xml:space="preserve">ie przytoczono wyjaśnienia </w:t>
      </w:r>
      <w:r w:rsidR="00B0418C" w:rsidRPr="00FB3949">
        <w:rPr>
          <w:rFonts w:ascii="Arial" w:hAnsi="Arial" w:cs="Arial"/>
        </w:rPr>
        <w:t>RIO we Wrocławiu, które dotyczą klasyfikowania zwrotu nadpłat w</w:t>
      </w:r>
      <w:r w:rsidR="00D21A4A">
        <w:rPr>
          <w:rFonts w:ascii="Arial" w:hAnsi="Arial" w:cs="Arial"/>
        </w:rPr>
        <w:t> </w:t>
      </w:r>
      <w:r w:rsidR="00B0418C" w:rsidRPr="00FB3949">
        <w:rPr>
          <w:rFonts w:ascii="Arial" w:hAnsi="Arial" w:cs="Arial"/>
        </w:rPr>
        <w:t>podziałce klasyfikacji budżetowej</w:t>
      </w:r>
      <w:r w:rsidR="00FB3949">
        <w:rPr>
          <w:rFonts w:ascii="Arial" w:hAnsi="Arial" w:cs="Arial"/>
        </w:rPr>
        <w:t>,</w:t>
      </w:r>
      <w:r w:rsidR="00B0418C" w:rsidRPr="00FB3949">
        <w:rPr>
          <w:rFonts w:ascii="Arial" w:hAnsi="Arial" w:cs="Arial"/>
        </w:rPr>
        <w:t xml:space="preserve"> nie odnoszą się do ujmowania tej operacji na kontach księgowych </w:t>
      </w:r>
      <w:r w:rsidR="00B0418C" w:rsidRPr="00FB3949">
        <w:rPr>
          <w:rFonts w:ascii="Arial" w:hAnsi="Arial" w:cs="Arial"/>
          <w:u w:val="single"/>
        </w:rPr>
        <w:t>na przełomie roku budżetowego.</w:t>
      </w:r>
      <w:r w:rsidR="00B0418C" w:rsidRPr="00FB3949">
        <w:rPr>
          <w:rFonts w:ascii="Arial" w:hAnsi="Arial" w:cs="Arial"/>
        </w:rPr>
        <w:t xml:space="preserve">  Przeprowadzenie operacji zwrotu nadpłaty powstałej w poprzednim roku budżetowym, w sposób opisany w protokole kontroli spowodowało, że </w:t>
      </w:r>
      <w:r w:rsidR="00FB3949" w:rsidRPr="00FB3949">
        <w:rPr>
          <w:rFonts w:ascii="Arial" w:hAnsi="Arial" w:cs="Arial"/>
        </w:rPr>
        <w:t xml:space="preserve">w 2022 r. </w:t>
      </w:r>
      <w:r w:rsidR="00B0418C" w:rsidRPr="00FB3949">
        <w:rPr>
          <w:rFonts w:ascii="Arial" w:hAnsi="Arial" w:cs="Arial"/>
        </w:rPr>
        <w:t xml:space="preserve">zawyżone zostały obroty </w:t>
      </w:r>
      <w:r w:rsidR="00F4331A">
        <w:rPr>
          <w:rFonts w:ascii="Arial" w:hAnsi="Arial" w:cs="Arial"/>
        </w:rPr>
        <w:t xml:space="preserve">na koncie </w:t>
      </w:r>
      <w:r w:rsidR="00FB3949">
        <w:rPr>
          <w:rFonts w:ascii="Arial" w:hAnsi="Arial" w:cs="Arial"/>
        </w:rPr>
        <w:t xml:space="preserve">800 „Fundusz jednostki” </w:t>
      </w:r>
      <w:r w:rsidR="00FB3949" w:rsidRPr="00FB3949">
        <w:rPr>
          <w:rFonts w:ascii="Arial" w:hAnsi="Arial" w:cs="Arial"/>
        </w:rPr>
        <w:t xml:space="preserve">oraz zaniżone zostały dochody 2023 r. Tymczasem zgodnie z </w:t>
      </w:r>
      <w:r w:rsidR="00FB3949" w:rsidRPr="00FB3949">
        <w:rPr>
          <w:rFonts w:ascii="Arial" w:eastAsia="Segoe UI" w:hAnsi="Arial" w:cs="Arial"/>
          <w:spacing w:val="-2"/>
        </w:rPr>
        <w:t>zarządzeniem 0050/44/17 Prezydenta Miasta Tychy z dnia 10 lutego 2017 r. w</w:t>
      </w:r>
      <w:r w:rsidR="00D21A4A">
        <w:rPr>
          <w:rFonts w:ascii="Arial" w:eastAsia="Segoe UI" w:hAnsi="Arial" w:cs="Arial"/>
          <w:spacing w:val="-2"/>
        </w:rPr>
        <w:t> </w:t>
      </w:r>
      <w:r w:rsidR="00FB3949" w:rsidRPr="00FB3949">
        <w:rPr>
          <w:rFonts w:ascii="Arial" w:eastAsia="Segoe UI" w:hAnsi="Arial" w:cs="Arial"/>
          <w:spacing w:val="-2"/>
        </w:rPr>
        <w:t>sprawie trybu i terminów przekazywania pobranych dochodów przez podległe jednostki budżetowe oraz wydziały merytoryczne Urzędu Miasta</w:t>
      </w:r>
      <w:r w:rsidR="00FB3949">
        <w:rPr>
          <w:rFonts w:ascii="Arial" w:eastAsia="Segoe UI" w:hAnsi="Arial" w:cs="Arial"/>
          <w:spacing w:val="-2"/>
        </w:rPr>
        <w:t>,</w:t>
      </w:r>
      <w:r w:rsidR="00FB3949" w:rsidRPr="00FB3949">
        <w:rPr>
          <w:rFonts w:ascii="Arial" w:eastAsia="Segoe UI" w:hAnsi="Arial" w:cs="Arial"/>
          <w:spacing w:val="-2"/>
        </w:rPr>
        <w:t xml:space="preserve"> z </w:t>
      </w:r>
      <w:proofErr w:type="spellStart"/>
      <w:r w:rsidR="00FB3949" w:rsidRPr="00FB3949">
        <w:rPr>
          <w:rFonts w:ascii="Arial" w:eastAsia="Segoe UI" w:hAnsi="Arial" w:cs="Arial"/>
          <w:spacing w:val="-2"/>
        </w:rPr>
        <w:t>późn</w:t>
      </w:r>
      <w:proofErr w:type="spellEnd"/>
      <w:r w:rsidR="00FB3949" w:rsidRPr="00FB3949">
        <w:rPr>
          <w:rFonts w:ascii="Arial" w:eastAsia="Segoe UI" w:hAnsi="Arial" w:cs="Arial"/>
          <w:spacing w:val="-2"/>
        </w:rPr>
        <w:t>. zmianami</w:t>
      </w:r>
      <w:r w:rsidR="00FB3949">
        <w:rPr>
          <w:rFonts w:ascii="Arial" w:eastAsia="Segoe UI" w:hAnsi="Arial" w:cs="Arial"/>
          <w:spacing w:val="-2"/>
        </w:rPr>
        <w:t>:</w:t>
      </w:r>
    </w:p>
    <w:p w14:paraId="1FB9219B" w14:textId="11A719F6" w:rsidR="00FB3949" w:rsidRPr="00FB3949" w:rsidRDefault="00FB3949" w:rsidP="001B1CF6">
      <w:pPr>
        <w:spacing w:after="0" w:line="360" w:lineRule="auto"/>
        <w:jc w:val="both"/>
        <w:rPr>
          <w:rFonts w:ascii="Arial" w:eastAsia="Segoe UI" w:hAnsi="Arial" w:cs="Arial"/>
          <w:i/>
          <w:iCs/>
          <w:spacing w:val="-2"/>
        </w:rPr>
      </w:pPr>
      <w:r w:rsidRPr="00FB3949">
        <w:rPr>
          <w:rFonts w:ascii="Arial" w:eastAsia="Segoe UI" w:hAnsi="Arial" w:cs="Arial"/>
          <w:i/>
          <w:iCs/>
          <w:spacing w:val="-2"/>
        </w:rPr>
        <w:t>1.</w:t>
      </w:r>
      <w:r w:rsidR="009853CB">
        <w:rPr>
          <w:rFonts w:ascii="Arial" w:eastAsia="Segoe UI" w:hAnsi="Arial" w:cs="Arial"/>
          <w:i/>
          <w:iCs/>
          <w:spacing w:val="-2"/>
        </w:rPr>
        <w:t xml:space="preserve"> </w:t>
      </w:r>
      <w:r w:rsidRPr="00FB3949">
        <w:rPr>
          <w:rFonts w:ascii="Arial" w:eastAsia="Segoe UI" w:hAnsi="Arial" w:cs="Arial"/>
          <w:i/>
          <w:iCs/>
          <w:spacing w:val="-2"/>
        </w:rPr>
        <w:t>Podległe jednostki budżetowe przekazują pobrane dochody budżetowe miasta, na rachunek podstawowy budżetu miasta następująco:</w:t>
      </w:r>
    </w:p>
    <w:p w14:paraId="1C4AF880" w14:textId="77777777" w:rsidR="00FB3949" w:rsidRPr="00FB3949" w:rsidRDefault="00FB3949" w:rsidP="001B1CF6">
      <w:pPr>
        <w:spacing w:after="0" w:line="360" w:lineRule="auto"/>
        <w:ind w:firstLine="284"/>
        <w:jc w:val="both"/>
        <w:rPr>
          <w:rFonts w:ascii="Arial" w:eastAsia="Segoe UI" w:hAnsi="Arial" w:cs="Arial"/>
          <w:i/>
          <w:iCs/>
          <w:spacing w:val="-2"/>
        </w:rPr>
      </w:pPr>
      <w:r w:rsidRPr="00FB3949">
        <w:rPr>
          <w:rFonts w:ascii="Arial" w:eastAsia="Segoe UI" w:hAnsi="Arial" w:cs="Arial"/>
          <w:i/>
          <w:iCs/>
          <w:spacing w:val="-2"/>
        </w:rPr>
        <w:t>1) Miejski Zarząd Komunikacji – nie rzadziej niż 2 razy w miesiącu, tj.:</w:t>
      </w:r>
    </w:p>
    <w:p w14:paraId="032BFB07" w14:textId="77777777" w:rsidR="00FB3949" w:rsidRPr="00FB3949" w:rsidRDefault="00FB3949" w:rsidP="001B1CF6">
      <w:pPr>
        <w:spacing w:after="0" w:line="360" w:lineRule="auto"/>
        <w:ind w:firstLine="284"/>
        <w:jc w:val="both"/>
        <w:rPr>
          <w:rFonts w:ascii="Arial" w:eastAsia="Segoe UI" w:hAnsi="Arial" w:cs="Arial"/>
          <w:i/>
          <w:iCs/>
          <w:spacing w:val="-2"/>
        </w:rPr>
      </w:pPr>
      <w:r w:rsidRPr="00FB3949">
        <w:rPr>
          <w:rFonts w:ascii="Arial" w:eastAsia="Segoe UI" w:hAnsi="Arial" w:cs="Arial"/>
          <w:i/>
          <w:iCs/>
          <w:spacing w:val="-2"/>
        </w:rPr>
        <w:t>a) pobrane do 15 dnia miesiąca – w terminie do 18 dnia danego miesiąca;</w:t>
      </w:r>
    </w:p>
    <w:p w14:paraId="36492EA3" w14:textId="35ED585F" w:rsidR="00FB3949" w:rsidRPr="00FB3949" w:rsidRDefault="00FB3949" w:rsidP="003D146B">
      <w:pPr>
        <w:spacing w:after="0" w:line="360" w:lineRule="auto"/>
        <w:ind w:firstLine="284"/>
        <w:jc w:val="both"/>
        <w:rPr>
          <w:rFonts w:ascii="Arial" w:eastAsia="Segoe UI" w:hAnsi="Arial" w:cs="Arial"/>
          <w:i/>
          <w:iCs/>
          <w:spacing w:val="-2"/>
        </w:rPr>
      </w:pPr>
      <w:r w:rsidRPr="00FB3949">
        <w:rPr>
          <w:rFonts w:ascii="Arial" w:eastAsia="Segoe UI" w:hAnsi="Arial" w:cs="Arial"/>
          <w:i/>
          <w:iCs/>
          <w:spacing w:val="-2"/>
        </w:rPr>
        <w:t>b) pobrane do końca miesiąca – w terminie do 5 dni roboczych następnego</w:t>
      </w:r>
      <w:r w:rsidR="003D146B">
        <w:rPr>
          <w:rFonts w:ascii="Arial" w:eastAsia="Segoe UI" w:hAnsi="Arial" w:cs="Arial"/>
          <w:i/>
          <w:iCs/>
          <w:spacing w:val="-2"/>
        </w:rPr>
        <w:t xml:space="preserve"> </w:t>
      </w:r>
      <w:r w:rsidRPr="00FB3949">
        <w:rPr>
          <w:rFonts w:ascii="Arial" w:eastAsia="Segoe UI" w:hAnsi="Arial" w:cs="Arial"/>
          <w:i/>
          <w:iCs/>
          <w:spacing w:val="-2"/>
        </w:rPr>
        <w:t>miesiąca;</w:t>
      </w:r>
    </w:p>
    <w:p w14:paraId="308EE753" w14:textId="77777777" w:rsidR="00FB3949" w:rsidRPr="00FB3949" w:rsidRDefault="00FB3949" w:rsidP="001B1CF6">
      <w:pPr>
        <w:spacing w:after="0" w:line="360" w:lineRule="auto"/>
        <w:ind w:firstLine="284"/>
        <w:jc w:val="both"/>
        <w:rPr>
          <w:rFonts w:ascii="Arial" w:eastAsia="Segoe UI" w:hAnsi="Arial" w:cs="Arial"/>
          <w:i/>
          <w:iCs/>
          <w:spacing w:val="-2"/>
        </w:rPr>
      </w:pPr>
      <w:r w:rsidRPr="00FB3949">
        <w:rPr>
          <w:rFonts w:ascii="Arial" w:eastAsia="Segoe UI" w:hAnsi="Arial" w:cs="Arial"/>
          <w:i/>
          <w:iCs/>
          <w:spacing w:val="-2"/>
        </w:rPr>
        <w:t>2) Miejski Zarząd Ulic i Mostów – pobrane do końca miesiąca w terminie do 10 dnia</w:t>
      </w:r>
    </w:p>
    <w:p w14:paraId="754D3942" w14:textId="77777777" w:rsidR="00FB3949" w:rsidRPr="00FB3949" w:rsidRDefault="00FB3949" w:rsidP="001B1CF6">
      <w:pPr>
        <w:spacing w:after="0" w:line="360" w:lineRule="auto"/>
        <w:ind w:firstLine="284"/>
        <w:jc w:val="both"/>
        <w:rPr>
          <w:rFonts w:ascii="Arial" w:eastAsia="Segoe UI" w:hAnsi="Arial" w:cs="Arial"/>
          <w:i/>
          <w:iCs/>
          <w:spacing w:val="-2"/>
        </w:rPr>
      </w:pPr>
      <w:r w:rsidRPr="00FB3949">
        <w:rPr>
          <w:rFonts w:ascii="Arial" w:eastAsia="Segoe UI" w:hAnsi="Arial" w:cs="Arial"/>
          <w:i/>
          <w:iCs/>
          <w:spacing w:val="-2"/>
        </w:rPr>
        <w:t>następnego miesiąca;</w:t>
      </w:r>
    </w:p>
    <w:p w14:paraId="2E9A9E93" w14:textId="77777777" w:rsidR="00FB3949" w:rsidRPr="00FB3949" w:rsidRDefault="00FB3949" w:rsidP="001B1CF6">
      <w:pPr>
        <w:spacing w:after="0" w:line="360" w:lineRule="auto"/>
        <w:ind w:firstLine="284"/>
        <w:jc w:val="both"/>
        <w:rPr>
          <w:rFonts w:ascii="Arial" w:eastAsia="Segoe UI" w:hAnsi="Arial" w:cs="Arial"/>
          <w:b/>
          <w:bCs/>
          <w:i/>
          <w:iCs/>
          <w:spacing w:val="-2"/>
          <w:u w:val="single"/>
        </w:rPr>
      </w:pPr>
      <w:r w:rsidRPr="00FB3949">
        <w:rPr>
          <w:rFonts w:ascii="Arial" w:eastAsia="Segoe UI" w:hAnsi="Arial" w:cs="Arial"/>
          <w:i/>
          <w:iCs/>
          <w:spacing w:val="-2"/>
        </w:rPr>
        <w:t xml:space="preserve">3) </w:t>
      </w:r>
      <w:r w:rsidRPr="00FB3949">
        <w:rPr>
          <w:rFonts w:ascii="Arial" w:eastAsia="Segoe UI" w:hAnsi="Arial" w:cs="Arial"/>
          <w:b/>
          <w:bCs/>
          <w:i/>
          <w:iCs/>
          <w:spacing w:val="-2"/>
          <w:u w:val="single"/>
        </w:rPr>
        <w:t>pozostałe jednostki budżetowe – pobrane do końca miesiąca w terminie do 5 dni</w:t>
      </w:r>
    </w:p>
    <w:p w14:paraId="7CC24225" w14:textId="77777777" w:rsidR="00FB3949" w:rsidRPr="00FB3949" w:rsidRDefault="00FB3949" w:rsidP="001B1CF6">
      <w:pPr>
        <w:spacing w:after="0" w:line="360" w:lineRule="auto"/>
        <w:ind w:firstLine="284"/>
        <w:jc w:val="both"/>
        <w:rPr>
          <w:rFonts w:ascii="Arial" w:eastAsia="Segoe UI" w:hAnsi="Arial" w:cs="Arial"/>
          <w:b/>
          <w:bCs/>
          <w:i/>
          <w:iCs/>
          <w:spacing w:val="-2"/>
          <w:u w:val="single"/>
        </w:rPr>
      </w:pPr>
      <w:r w:rsidRPr="00FB3949">
        <w:rPr>
          <w:rFonts w:ascii="Arial" w:eastAsia="Segoe UI" w:hAnsi="Arial" w:cs="Arial"/>
          <w:b/>
          <w:bCs/>
          <w:i/>
          <w:iCs/>
          <w:spacing w:val="-2"/>
          <w:u w:val="single"/>
        </w:rPr>
        <w:t>roboczych następnego miesiąca.</w:t>
      </w:r>
    </w:p>
    <w:p w14:paraId="43706FFD" w14:textId="512ED007" w:rsidR="00FB3949" w:rsidRPr="00FB3949" w:rsidRDefault="00FB3949" w:rsidP="001B1CF6">
      <w:pPr>
        <w:spacing w:after="0" w:line="360" w:lineRule="auto"/>
        <w:jc w:val="both"/>
        <w:rPr>
          <w:rFonts w:ascii="Arial" w:eastAsia="Segoe UI" w:hAnsi="Arial" w:cs="Arial"/>
          <w:b/>
          <w:bCs/>
          <w:i/>
          <w:iCs/>
          <w:spacing w:val="-2"/>
          <w:u w:val="single"/>
        </w:rPr>
      </w:pPr>
      <w:r w:rsidRPr="00FB3949">
        <w:rPr>
          <w:rFonts w:ascii="Arial" w:eastAsia="Segoe UI" w:hAnsi="Arial" w:cs="Arial"/>
          <w:i/>
          <w:iCs/>
          <w:spacing w:val="-2"/>
        </w:rPr>
        <w:t xml:space="preserve">2. </w:t>
      </w:r>
      <w:r w:rsidRPr="00FB3949">
        <w:rPr>
          <w:rFonts w:ascii="Arial" w:eastAsia="Segoe UI" w:hAnsi="Arial" w:cs="Arial"/>
          <w:b/>
          <w:bCs/>
          <w:i/>
          <w:iCs/>
          <w:spacing w:val="-2"/>
          <w:u w:val="single"/>
        </w:rPr>
        <w:t>Wpłaty dokonane na podstawie ust. 1 winny być zgodne ze sprawozdaniem</w:t>
      </w:r>
    </w:p>
    <w:p w14:paraId="077BB003" w14:textId="2F1C1E5C" w:rsidR="00FB3949" w:rsidRPr="00FB3949" w:rsidRDefault="00FB3949" w:rsidP="001B1CF6">
      <w:pPr>
        <w:spacing w:after="0" w:line="360" w:lineRule="auto"/>
        <w:jc w:val="both"/>
        <w:rPr>
          <w:rFonts w:ascii="Arial" w:eastAsia="Segoe UI" w:hAnsi="Arial" w:cs="Arial"/>
          <w:b/>
          <w:bCs/>
          <w:i/>
          <w:iCs/>
          <w:spacing w:val="-2"/>
          <w:u w:val="single"/>
        </w:rPr>
      </w:pPr>
      <w:r w:rsidRPr="00FB3949">
        <w:rPr>
          <w:rFonts w:ascii="Arial" w:eastAsia="Segoe UI" w:hAnsi="Arial" w:cs="Arial"/>
          <w:b/>
          <w:bCs/>
          <w:i/>
          <w:iCs/>
          <w:spacing w:val="-2"/>
          <w:u w:val="single"/>
        </w:rPr>
        <w:t>z wykonania planu dochodów Rb - 27S</w:t>
      </w:r>
    </w:p>
    <w:p w14:paraId="0755565B" w14:textId="22F1512C" w:rsidR="00FB3949" w:rsidRPr="001B1CF6" w:rsidRDefault="00FB3949" w:rsidP="00FB3949">
      <w:pPr>
        <w:spacing w:after="0" w:line="360" w:lineRule="auto"/>
        <w:jc w:val="both"/>
        <w:rPr>
          <w:rFonts w:ascii="Arial" w:eastAsia="Segoe UI" w:hAnsi="Arial" w:cs="Arial"/>
          <w:spacing w:val="-2"/>
        </w:rPr>
      </w:pPr>
      <w:r w:rsidRPr="001B1CF6">
        <w:rPr>
          <w:rFonts w:ascii="Arial" w:eastAsia="Segoe UI" w:hAnsi="Arial" w:cs="Arial"/>
          <w:spacing w:val="-2"/>
        </w:rPr>
        <w:t>W sprawozdaniu Rb – 27 S za 2022 r. prawidłowo wykazano nadpłatę w kwocie 5,20 zł</w:t>
      </w:r>
      <w:r w:rsidR="001A4B81" w:rsidRPr="001B1CF6">
        <w:rPr>
          <w:rFonts w:ascii="Arial" w:eastAsia="Segoe UI" w:hAnsi="Arial" w:cs="Arial"/>
          <w:spacing w:val="-2"/>
        </w:rPr>
        <w:t xml:space="preserve"> (kwota dochodów nienależnie wpłacona</w:t>
      </w:r>
      <w:r w:rsidR="00504328" w:rsidRPr="001B1CF6">
        <w:rPr>
          <w:rFonts w:ascii="Arial" w:eastAsia="Segoe UI" w:hAnsi="Arial" w:cs="Arial"/>
          <w:spacing w:val="-2"/>
        </w:rPr>
        <w:t>), która</w:t>
      </w:r>
      <w:r w:rsidRPr="001B1CF6">
        <w:rPr>
          <w:rFonts w:ascii="Arial" w:eastAsia="Segoe UI" w:hAnsi="Arial" w:cs="Arial"/>
          <w:spacing w:val="-2"/>
        </w:rPr>
        <w:t xml:space="preserve"> nie powinna podlegać przekazaniu na rachunek </w:t>
      </w:r>
      <w:r w:rsidRPr="001B1CF6">
        <w:rPr>
          <w:rFonts w:ascii="Arial" w:eastAsia="Segoe UI" w:hAnsi="Arial" w:cs="Arial"/>
          <w:spacing w:val="-2"/>
        </w:rPr>
        <w:lastRenderedPageBreak/>
        <w:t xml:space="preserve">Gminy jako dochód budżetowy. </w:t>
      </w:r>
    </w:p>
    <w:p w14:paraId="2256121A" w14:textId="52717179" w:rsidR="00D21A4A" w:rsidRPr="001B1CF6" w:rsidRDefault="00D21A4A" w:rsidP="00D21A4A">
      <w:pPr>
        <w:spacing w:after="0" w:line="360" w:lineRule="auto"/>
        <w:ind w:firstLine="573"/>
        <w:jc w:val="both"/>
        <w:rPr>
          <w:rFonts w:ascii="Arial" w:hAnsi="Arial"/>
          <w:spacing w:val="-2"/>
        </w:rPr>
      </w:pPr>
      <w:r w:rsidRPr="001B1CF6">
        <w:rPr>
          <w:rFonts w:ascii="Arial" w:hAnsi="Arial"/>
          <w:spacing w:val="-2"/>
        </w:rPr>
        <w:t>W zakresie uwag do punktu 4.8. informującego, że pracownik zauważył błąd pisarski</w:t>
      </w:r>
      <w:r w:rsidR="001B1CF6">
        <w:rPr>
          <w:rFonts w:ascii="Arial" w:hAnsi="Arial"/>
          <w:spacing w:val="-2"/>
        </w:rPr>
        <w:t>,</w:t>
      </w:r>
      <w:r w:rsidRPr="001B1CF6">
        <w:rPr>
          <w:rFonts w:ascii="Arial" w:hAnsi="Arial"/>
          <w:spacing w:val="-2"/>
        </w:rPr>
        <w:t xml:space="preserve"> tj. nieadekwatną wysokość nagrody jubileuszowej do stażu pracy, zauważa </w:t>
      </w:r>
      <w:r w:rsidR="00504328" w:rsidRPr="001B1CF6">
        <w:rPr>
          <w:rFonts w:ascii="Arial" w:hAnsi="Arial"/>
          <w:spacing w:val="-2"/>
        </w:rPr>
        <w:t>się,</w:t>
      </w:r>
      <w:r w:rsidRPr="001B1CF6">
        <w:rPr>
          <w:rFonts w:ascii="Arial" w:hAnsi="Arial"/>
          <w:spacing w:val="-2"/>
        </w:rPr>
        <w:t xml:space="preserve"> że, skoro pracownik wykonuje dyspozycje Dyrektora na podstawie takiego pisma należałoby poprosić o</w:t>
      </w:r>
      <w:r w:rsidR="001B1CF6">
        <w:rPr>
          <w:rFonts w:ascii="Arial" w:hAnsi="Arial"/>
          <w:spacing w:val="-2"/>
        </w:rPr>
        <w:t> </w:t>
      </w:r>
      <w:r w:rsidRPr="001B1CF6">
        <w:rPr>
          <w:rFonts w:ascii="Arial" w:hAnsi="Arial"/>
          <w:spacing w:val="-2"/>
        </w:rPr>
        <w:t xml:space="preserve">jego korektę, nawet tylko w formie przekreślenia i zaparafowania. </w:t>
      </w:r>
    </w:p>
    <w:p w14:paraId="5B013966" w14:textId="674A3646" w:rsidR="00D21A4A" w:rsidRPr="001B1CF6" w:rsidRDefault="00D21A4A" w:rsidP="00D21A4A">
      <w:pPr>
        <w:spacing w:after="0" w:line="360" w:lineRule="auto"/>
        <w:ind w:firstLine="573"/>
        <w:jc w:val="both"/>
        <w:rPr>
          <w:rFonts w:ascii="Arial" w:hAnsi="Arial"/>
          <w:spacing w:val="-2"/>
        </w:rPr>
      </w:pPr>
      <w:r w:rsidRPr="001B1CF6">
        <w:rPr>
          <w:rFonts w:ascii="Arial" w:hAnsi="Arial"/>
          <w:spacing w:val="-2"/>
        </w:rPr>
        <w:t>W odniesieniu do uwzględnionego w podstawie nagrody wynagrodzenia za zastępstwa zwraca</w:t>
      </w:r>
      <w:r w:rsidR="001B1CF6" w:rsidRPr="001B1CF6">
        <w:rPr>
          <w:rFonts w:ascii="Arial" w:hAnsi="Arial"/>
          <w:spacing w:val="-2"/>
        </w:rPr>
        <w:t xml:space="preserve"> się</w:t>
      </w:r>
      <w:r w:rsidRPr="001B1CF6">
        <w:rPr>
          <w:rFonts w:ascii="Arial" w:hAnsi="Arial"/>
          <w:spacing w:val="-2"/>
        </w:rPr>
        <w:t xml:space="preserve"> uwagę, że z przedłożonej do kontroli dokumentacji nie wynikało, że za 3 godziny zastępstw z 11 wypracowanych w kwietniu 2022 r. wypłacono wynagrodzenie 27 maja 2022</w:t>
      </w:r>
      <w:r w:rsidR="001B1CF6" w:rsidRPr="001B1CF6">
        <w:rPr>
          <w:rFonts w:ascii="Arial" w:hAnsi="Arial"/>
          <w:spacing w:val="-2"/>
        </w:rPr>
        <w:t> </w:t>
      </w:r>
      <w:r w:rsidRPr="001B1CF6">
        <w:rPr>
          <w:rFonts w:ascii="Arial" w:hAnsi="Arial"/>
          <w:spacing w:val="-2"/>
        </w:rPr>
        <w:t xml:space="preserve">r. </w:t>
      </w:r>
      <w:r w:rsidR="001B1CF6" w:rsidRPr="001B1CF6">
        <w:rPr>
          <w:rFonts w:ascii="Arial" w:hAnsi="Arial"/>
          <w:spacing w:val="-2"/>
        </w:rPr>
        <w:t xml:space="preserve">Zwraca się zatem </w:t>
      </w:r>
      <w:r w:rsidR="00504328" w:rsidRPr="001B1CF6">
        <w:rPr>
          <w:rFonts w:ascii="Arial" w:hAnsi="Arial"/>
          <w:spacing w:val="-2"/>
        </w:rPr>
        <w:t>uwagę,</w:t>
      </w:r>
      <w:r w:rsidR="001B1CF6" w:rsidRPr="001B1CF6">
        <w:rPr>
          <w:rFonts w:ascii="Arial" w:hAnsi="Arial"/>
          <w:spacing w:val="-2"/>
        </w:rPr>
        <w:t xml:space="preserve"> aby</w:t>
      </w:r>
      <w:r w:rsidRPr="001B1CF6">
        <w:rPr>
          <w:rFonts w:ascii="Arial" w:hAnsi="Arial"/>
          <w:spacing w:val="-2"/>
        </w:rPr>
        <w:t xml:space="preserve"> w przypadku składania wyjaśnień do protokołu powołując się na inny stan faktyczny </w:t>
      </w:r>
      <w:r w:rsidR="00504328" w:rsidRPr="001B1CF6">
        <w:rPr>
          <w:rFonts w:ascii="Arial" w:hAnsi="Arial"/>
          <w:spacing w:val="-2"/>
        </w:rPr>
        <w:t>załączać dokumenty</w:t>
      </w:r>
      <w:r w:rsidRPr="001B1CF6">
        <w:rPr>
          <w:rFonts w:ascii="Arial" w:hAnsi="Arial"/>
          <w:spacing w:val="-2"/>
        </w:rPr>
        <w:t xml:space="preserve"> źródłow</w:t>
      </w:r>
      <w:r w:rsidR="001B1CF6" w:rsidRPr="001B1CF6">
        <w:rPr>
          <w:rFonts w:ascii="Arial" w:hAnsi="Arial"/>
          <w:spacing w:val="-2"/>
        </w:rPr>
        <w:t>e</w:t>
      </w:r>
      <w:r w:rsidRPr="001B1CF6">
        <w:rPr>
          <w:rFonts w:ascii="Arial" w:hAnsi="Arial"/>
          <w:spacing w:val="-2"/>
        </w:rPr>
        <w:t xml:space="preserve"> potwierdzając</w:t>
      </w:r>
      <w:r w:rsidR="001B1CF6" w:rsidRPr="001B1CF6">
        <w:rPr>
          <w:rFonts w:ascii="Arial" w:hAnsi="Arial"/>
          <w:spacing w:val="-2"/>
        </w:rPr>
        <w:t>e</w:t>
      </w:r>
      <w:r w:rsidRPr="001B1CF6">
        <w:rPr>
          <w:rFonts w:ascii="Arial" w:hAnsi="Arial"/>
          <w:spacing w:val="-2"/>
        </w:rPr>
        <w:t xml:space="preserve"> wyjaśnienia. </w:t>
      </w:r>
    </w:p>
    <w:p w14:paraId="6FCFE629" w14:textId="1F004644" w:rsidR="00F4331A" w:rsidRPr="001B1CF6" w:rsidRDefault="00F4331A" w:rsidP="00D21A4A">
      <w:pPr>
        <w:spacing w:after="0" w:line="360" w:lineRule="auto"/>
        <w:ind w:firstLine="573"/>
        <w:jc w:val="both"/>
        <w:rPr>
          <w:rFonts w:ascii="Arial" w:hAnsi="Arial"/>
          <w:spacing w:val="-2"/>
        </w:rPr>
      </w:pPr>
      <w:r w:rsidRPr="001B1CF6">
        <w:rPr>
          <w:rFonts w:ascii="Arial" w:hAnsi="Arial"/>
          <w:spacing w:val="-2"/>
        </w:rPr>
        <w:t xml:space="preserve">W odniesieniu do uwag w zakresie przeprowadzonego przez pracowników MCO </w:t>
      </w:r>
      <w:r w:rsidR="00F660FC" w:rsidRPr="001B1CF6">
        <w:rPr>
          <w:rFonts w:ascii="Arial" w:hAnsi="Arial"/>
          <w:spacing w:val="-2"/>
        </w:rPr>
        <w:t>spisu z</w:t>
      </w:r>
      <w:r w:rsidR="001B1CF6">
        <w:rPr>
          <w:rFonts w:ascii="Arial" w:hAnsi="Arial"/>
          <w:spacing w:val="-2"/>
        </w:rPr>
        <w:t> </w:t>
      </w:r>
      <w:r w:rsidR="00F660FC" w:rsidRPr="001B1CF6">
        <w:rPr>
          <w:rFonts w:ascii="Arial" w:hAnsi="Arial"/>
          <w:spacing w:val="-2"/>
        </w:rPr>
        <w:t>natury nadmienić należy, że w protokole kontroli nie stwierdzon</w:t>
      </w:r>
      <w:r w:rsidR="00EE0FF1" w:rsidRPr="001B1CF6">
        <w:rPr>
          <w:rFonts w:ascii="Arial" w:hAnsi="Arial"/>
          <w:spacing w:val="-2"/>
        </w:rPr>
        <w:t>o</w:t>
      </w:r>
      <w:r w:rsidR="00F660FC" w:rsidRPr="001B1CF6">
        <w:rPr>
          <w:rFonts w:ascii="Arial" w:hAnsi="Arial"/>
          <w:spacing w:val="-2"/>
        </w:rPr>
        <w:t xml:space="preserve">, że spis jest nierzetelny, lecz jak zacytowano w piśmie jego rzetelność </w:t>
      </w:r>
      <w:r w:rsidR="00F660FC" w:rsidRPr="001B1CF6">
        <w:rPr>
          <w:rFonts w:ascii="Arial" w:hAnsi="Arial"/>
          <w:spacing w:val="-2"/>
          <w:u w:val="single"/>
        </w:rPr>
        <w:t>budzi wątpliwości</w:t>
      </w:r>
      <w:r w:rsidR="00F660FC" w:rsidRPr="001B1CF6">
        <w:rPr>
          <w:rFonts w:ascii="Arial" w:hAnsi="Arial"/>
          <w:spacing w:val="-2"/>
        </w:rPr>
        <w:t xml:space="preserve">. Jak opisano w protokole kontroli Dyrektor szkoły złożył Komisji </w:t>
      </w:r>
      <w:r w:rsidR="001B1CF6" w:rsidRPr="001B1CF6">
        <w:rPr>
          <w:rFonts w:ascii="Arial" w:hAnsi="Arial"/>
          <w:spacing w:val="-2"/>
        </w:rPr>
        <w:t>I</w:t>
      </w:r>
      <w:r w:rsidR="00F660FC" w:rsidRPr="001B1CF6">
        <w:rPr>
          <w:rFonts w:ascii="Arial" w:hAnsi="Arial"/>
          <w:spacing w:val="-2"/>
        </w:rPr>
        <w:t xml:space="preserve">nwentaryzacyjnej wyjaśnienia zgodnie z którymi np.: </w:t>
      </w:r>
    </w:p>
    <w:p w14:paraId="754EEE67" w14:textId="7413B847" w:rsidR="00F660FC" w:rsidRPr="001B1CF6" w:rsidRDefault="00F660FC" w:rsidP="001B1CF6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  <w:spacing w:val="-2"/>
        </w:rPr>
      </w:pPr>
      <w:r w:rsidRPr="001B1CF6">
        <w:rPr>
          <w:rFonts w:ascii="Arial" w:hAnsi="Arial" w:cs="Arial"/>
          <w:spacing w:val="-2"/>
        </w:rPr>
        <w:t xml:space="preserve">Obieraczka o wartości 4 547 </w:t>
      </w:r>
      <w:r w:rsidR="00504328" w:rsidRPr="001B1CF6">
        <w:rPr>
          <w:rFonts w:ascii="Arial" w:hAnsi="Arial" w:cs="Arial"/>
          <w:spacing w:val="-2"/>
        </w:rPr>
        <w:t>zł -</w:t>
      </w:r>
      <w:r w:rsidRPr="001B1CF6">
        <w:rPr>
          <w:rFonts w:ascii="Arial" w:hAnsi="Arial" w:cs="Arial"/>
          <w:i/>
          <w:iCs/>
          <w:spacing w:val="-2"/>
        </w:rPr>
        <w:t xml:space="preserve"> „niedobór wynika ze zmiany lokalizacji środka trwałego, tj. „kuchnia dół”. Prawidłowo jest w lokalizacji „pomieszczenie magazynowe podziemne”</w:t>
      </w:r>
      <w:r w:rsidRPr="001B1CF6">
        <w:rPr>
          <w:rFonts w:ascii="Arial" w:hAnsi="Arial" w:cs="Arial"/>
          <w:spacing w:val="-2"/>
        </w:rPr>
        <w:t xml:space="preserve">. </w:t>
      </w:r>
    </w:p>
    <w:p w14:paraId="3F51B08A" w14:textId="38DD19C5" w:rsidR="00F660FC" w:rsidRPr="001B1CF6" w:rsidRDefault="00F660FC" w:rsidP="001B1CF6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  <w:spacing w:val="-2"/>
        </w:rPr>
      </w:pPr>
      <w:r w:rsidRPr="001B1CF6">
        <w:rPr>
          <w:rFonts w:ascii="Arial" w:eastAsia="Segoe UI" w:hAnsi="Arial" w:cs="Arial"/>
          <w:spacing w:val="-2"/>
        </w:rPr>
        <w:t xml:space="preserve">Projektor </w:t>
      </w:r>
      <w:proofErr w:type="spellStart"/>
      <w:r w:rsidRPr="001B1CF6">
        <w:rPr>
          <w:rFonts w:ascii="Arial" w:eastAsia="Segoe UI" w:hAnsi="Arial" w:cs="Arial"/>
          <w:spacing w:val="-2"/>
        </w:rPr>
        <w:t>Beng</w:t>
      </w:r>
      <w:proofErr w:type="spellEnd"/>
      <w:r w:rsidRPr="001B1CF6">
        <w:rPr>
          <w:rFonts w:ascii="Arial" w:eastAsia="Segoe UI" w:hAnsi="Arial" w:cs="Arial"/>
          <w:spacing w:val="-2"/>
        </w:rPr>
        <w:t xml:space="preserve"> + ekran o wartości 2 197 zł – „</w:t>
      </w:r>
      <w:r w:rsidRPr="001B1CF6">
        <w:rPr>
          <w:rFonts w:ascii="Arial" w:eastAsia="Segoe UI" w:hAnsi="Arial" w:cs="Arial"/>
          <w:i/>
          <w:iCs/>
          <w:spacing w:val="-2"/>
        </w:rPr>
        <w:t>w trakcie inwentaryzacji środek trwały nie był oklejony numerem inwentarzowym”.</w:t>
      </w:r>
      <w:r w:rsidRPr="001B1CF6">
        <w:rPr>
          <w:rFonts w:ascii="Arial" w:eastAsia="Segoe UI" w:hAnsi="Arial" w:cs="Arial"/>
          <w:spacing w:val="-2"/>
        </w:rPr>
        <w:t xml:space="preserve"> </w:t>
      </w:r>
    </w:p>
    <w:p w14:paraId="15C351FC" w14:textId="1F1E497F" w:rsidR="00D21A4A" w:rsidRPr="001B1CF6" w:rsidRDefault="00F660FC" w:rsidP="001B1CF6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Segoe UI" w:hAnsi="Arial" w:cs="Arial"/>
          <w:spacing w:val="-2"/>
        </w:rPr>
      </w:pPr>
      <w:r w:rsidRPr="001B1CF6">
        <w:rPr>
          <w:rFonts w:ascii="Arial" w:eastAsia="Segoe UI" w:hAnsi="Arial" w:cs="Arial"/>
          <w:spacing w:val="-2"/>
        </w:rPr>
        <w:t xml:space="preserve">Projektor </w:t>
      </w:r>
      <w:proofErr w:type="spellStart"/>
      <w:r w:rsidRPr="001B1CF6">
        <w:rPr>
          <w:rFonts w:ascii="Arial" w:eastAsia="Segoe UI" w:hAnsi="Arial" w:cs="Arial"/>
          <w:spacing w:val="-2"/>
        </w:rPr>
        <w:t>BenQ</w:t>
      </w:r>
      <w:proofErr w:type="spellEnd"/>
      <w:r w:rsidRPr="001B1CF6">
        <w:rPr>
          <w:rFonts w:ascii="Arial" w:eastAsia="Segoe UI" w:hAnsi="Arial" w:cs="Arial"/>
          <w:spacing w:val="-2"/>
        </w:rPr>
        <w:t xml:space="preserve"> o wartości 2 399 zł – „</w:t>
      </w:r>
      <w:r w:rsidRPr="001B1CF6">
        <w:rPr>
          <w:rFonts w:ascii="Arial" w:eastAsia="Segoe UI" w:hAnsi="Arial" w:cs="Arial"/>
          <w:i/>
          <w:iCs/>
          <w:spacing w:val="-2"/>
        </w:rPr>
        <w:t>środek trwały posiadał nieczytelną naklejkę z</w:t>
      </w:r>
      <w:r w:rsidR="001B1CF6">
        <w:rPr>
          <w:rFonts w:ascii="Arial" w:eastAsia="Segoe UI" w:hAnsi="Arial" w:cs="Arial"/>
          <w:i/>
          <w:iCs/>
          <w:spacing w:val="-2"/>
        </w:rPr>
        <w:t> </w:t>
      </w:r>
      <w:r w:rsidRPr="001B1CF6">
        <w:rPr>
          <w:rFonts w:ascii="Arial" w:eastAsia="Segoe UI" w:hAnsi="Arial" w:cs="Arial"/>
          <w:i/>
          <w:iCs/>
          <w:spacing w:val="-2"/>
        </w:rPr>
        <w:t xml:space="preserve">numerem inwentarzowym”. </w:t>
      </w:r>
    </w:p>
    <w:p w14:paraId="14DAA899" w14:textId="798A947A" w:rsidR="00416BF7" w:rsidRDefault="00416BF7" w:rsidP="00416BF7">
      <w:pPr>
        <w:spacing w:after="0" w:line="360" w:lineRule="auto"/>
        <w:jc w:val="both"/>
        <w:rPr>
          <w:rFonts w:ascii="Arial" w:eastAsia="Segoe UI" w:hAnsi="Arial" w:cs="Arial"/>
          <w:spacing w:val="-2"/>
        </w:rPr>
      </w:pPr>
      <w:r w:rsidRPr="001B1CF6">
        <w:rPr>
          <w:rFonts w:ascii="Arial" w:eastAsia="Segoe UI" w:hAnsi="Arial" w:cs="Arial"/>
          <w:spacing w:val="-2"/>
        </w:rPr>
        <w:t xml:space="preserve">Zaznaczyć należy, że </w:t>
      </w:r>
      <w:r w:rsidR="00EE0FF1" w:rsidRPr="001B1CF6">
        <w:rPr>
          <w:rFonts w:ascii="Arial" w:eastAsia="Segoe UI" w:hAnsi="Arial" w:cs="Arial"/>
          <w:spacing w:val="-2"/>
        </w:rPr>
        <w:t>K</w:t>
      </w:r>
      <w:r w:rsidRPr="001B1CF6">
        <w:rPr>
          <w:rFonts w:ascii="Arial" w:eastAsia="Segoe UI" w:hAnsi="Arial" w:cs="Arial"/>
          <w:spacing w:val="-2"/>
        </w:rPr>
        <w:t>omisja przyjęła powyższe wyjaśnienia bez zastrzeżeń</w:t>
      </w:r>
      <w:r w:rsidR="00DC67E4" w:rsidRPr="001B1CF6">
        <w:rPr>
          <w:rFonts w:ascii="Arial" w:eastAsia="Segoe UI" w:hAnsi="Arial" w:cs="Arial"/>
          <w:spacing w:val="-2"/>
        </w:rPr>
        <w:t xml:space="preserve">. W </w:t>
      </w:r>
      <w:r w:rsidR="00504328" w:rsidRPr="001B1CF6">
        <w:rPr>
          <w:rFonts w:ascii="Arial" w:eastAsia="Segoe UI" w:hAnsi="Arial" w:cs="Arial"/>
          <w:spacing w:val="-2"/>
        </w:rPr>
        <w:t>przypadku,</w:t>
      </w:r>
      <w:r w:rsidR="00DC67E4" w:rsidRPr="001B1CF6">
        <w:rPr>
          <w:rFonts w:ascii="Arial" w:eastAsia="Segoe UI" w:hAnsi="Arial" w:cs="Arial"/>
          <w:spacing w:val="-2"/>
        </w:rPr>
        <w:t xml:space="preserve"> kiedy np. zespołowi spisowemu nie udostępniono pomieszczenia, w którym znajdowała się obieraczka, zasadnym wydaje </w:t>
      </w:r>
      <w:r w:rsidR="00504328" w:rsidRPr="001B1CF6">
        <w:rPr>
          <w:rFonts w:ascii="Arial" w:eastAsia="Segoe UI" w:hAnsi="Arial" w:cs="Arial"/>
          <w:spacing w:val="-2"/>
        </w:rPr>
        <w:t>się,</w:t>
      </w:r>
      <w:r w:rsidR="00DC67E4" w:rsidRPr="001B1CF6">
        <w:rPr>
          <w:rFonts w:ascii="Arial" w:eastAsia="Segoe UI" w:hAnsi="Arial" w:cs="Arial"/>
          <w:spacing w:val="-2"/>
        </w:rPr>
        <w:t xml:space="preserve"> aby fakt ten potwierdzały wyjaśnienia Dyrektora. </w:t>
      </w:r>
      <w:r w:rsidR="00EE0FF1" w:rsidRPr="001B1CF6">
        <w:rPr>
          <w:rFonts w:ascii="Arial" w:eastAsia="Segoe UI" w:hAnsi="Arial" w:cs="Arial"/>
          <w:spacing w:val="-2"/>
        </w:rPr>
        <w:t>Kontrolujące wysuwają wnioski na podstawie przedłożonej do kontroli dokumentacji. Jeżeli</w:t>
      </w:r>
      <w:r w:rsidR="001B1CF6">
        <w:rPr>
          <w:rFonts w:ascii="Arial" w:eastAsia="Segoe UI" w:hAnsi="Arial" w:cs="Arial"/>
          <w:spacing w:val="-2"/>
        </w:rPr>
        <w:t> </w:t>
      </w:r>
      <w:r w:rsidR="00EE0FF1" w:rsidRPr="001B1CF6">
        <w:rPr>
          <w:rFonts w:ascii="Arial" w:eastAsia="Segoe UI" w:hAnsi="Arial" w:cs="Arial"/>
          <w:spacing w:val="-2"/>
        </w:rPr>
        <w:t>Dyrektor nie wskazał w wyjaśnieniach</w:t>
      </w:r>
      <w:r w:rsidR="003836C4" w:rsidRPr="001B1CF6">
        <w:rPr>
          <w:rFonts w:ascii="Arial" w:eastAsia="Segoe UI" w:hAnsi="Arial" w:cs="Arial"/>
          <w:spacing w:val="-2"/>
        </w:rPr>
        <w:t>,</w:t>
      </w:r>
      <w:r w:rsidR="00EE0FF1" w:rsidRPr="001B1CF6">
        <w:rPr>
          <w:rFonts w:ascii="Arial" w:eastAsia="Segoe UI" w:hAnsi="Arial" w:cs="Arial"/>
          <w:spacing w:val="-2"/>
        </w:rPr>
        <w:t xml:space="preserve"> że niedobó</w:t>
      </w:r>
      <w:r w:rsidR="00BA59BF" w:rsidRPr="001B1CF6">
        <w:rPr>
          <w:rFonts w:ascii="Arial" w:eastAsia="Segoe UI" w:hAnsi="Arial" w:cs="Arial"/>
          <w:spacing w:val="-2"/>
        </w:rPr>
        <w:t>r</w:t>
      </w:r>
      <w:r w:rsidR="00EE0FF1" w:rsidRPr="001B1CF6">
        <w:rPr>
          <w:rFonts w:ascii="Arial" w:eastAsia="Segoe UI" w:hAnsi="Arial" w:cs="Arial"/>
          <w:spacing w:val="-2"/>
        </w:rPr>
        <w:t xml:space="preserve"> powstał w wyniku nieudostępnienia pomieszczenia, a wyjaśnienia te zostały przyjęte prze</w:t>
      </w:r>
      <w:r w:rsidR="00BA59BF" w:rsidRPr="001B1CF6">
        <w:rPr>
          <w:rFonts w:ascii="Arial" w:eastAsia="Segoe UI" w:hAnsi="Arial" w:cs="Arial"/>
          <w:spacing w:val="-2"/>
        </w:rPr>
        <w:t>z</w:t>
      </w:r>
      <w:r w:rsidR="00EE0FF1" w:rsidRPr="001B1CF6">
        <w:rPr>
          <w:rFonts w:ascii="Arial" w:eastAsia="Segoe UI" w:hAnsi="Arial" w:cs="Arial"/>
          <w:spacing w:val="-2"/>
        </w:rPr>
        <w:t xml:space="preserve"> </w:t>
      </w:r>
      <w:r w:rsidR="00BA59BF" w:rsidRPr="001B1CF6">
        <w:rPr>
          <w:rFonts w:ascii="Arial" w:eastAsia="Segoe UI" w:hAnsi="Arial" w:cs="Arial"/>
          <w:spacing w:val="-2"/>
        </w:rPr>
        <w:t>K</w:t>
      </w:r>
      <w:r w:rsidR="00EE0FF1" w:rsidRPr="001B1CF6">
        <w:rPr>
          <w:rFonts w:ascii="Arial" w:eastAsia="Segoe UI" w:hAnsi="Arial" w:cs="Arial"/>
          <w:spacing w:val="-2"/>
        </w:rPr>
        <w:t xml:space="preserve">omisję bez zastrzeżeń, to rodzi się </w:t>
      </w:r>
      <w:r w:rsidR="00504328" w:rsidRPr="001B1CF6">
        <w:rPr>
          <w:rFonts w:ascii="Arial" w:eastAsia="Segoe UI" w:hAnsi="Arial" w:cs="Arial"/>
          <w:spacing w:val="-2"/>
        </w:rPr>
        <w:t>pytanie,</w:t>
      </w:r>
      <w:r w:rsidR="00EE0FF1" w:rsidRPr="001B1CF6">
        <w:rPr>
          <w:rFonts w:ascii="Arial" w:eastAsia="Segoe UI" w:hAnsi="Arial" w:cs="Arial"/>
          <w:spacing w:val="-2"/>
        </w:rPr>
        <w:t xml:space="preserve"> dlaczego sprzęt nie został spisany z natury</w:t>
      </w:r>
      <w:r w:rsidR="00BA59BF" w:rsidRPr="001B1CF6">
        <w:rPr>
          <w:rFonts w:ascii="Arial" w:eastAsia="Segoe UI" w:hAnsi="Arial" w:cs="Arial"/>
          <w:spacing w:val="-2"/>
        </w:rPr>
        <w:t xml:space="preserve">, </w:t>
      </w:r>
      <w:r w:rsidR="00504328" w:rsidRPr="001B1CF6">
        <w:rPr>
          <w:rFonts w:ascii="Arial" w:eastAsia="Segoe UI" w:hAnsi="Arial" w:cs="Arial"/>
          <w:spacing w:val="-2"/>
        </w:rPr>
        <w:t>co z</w:t>
      </w:r>
      <w:r w:rsidR="003836C4" w:rsidRPr="001B1CF6">
        <w:rPr>
          <w:rFonts w:ascii="Arial" w:eastAsia="Segoe UI" w:hAnsi="Arial" w:cs="Arial"/>
          <w:spacing w:val="-2"/>
        </w:rPr>
        <w:t xml:space="preserve"> kolei </w:t>
      </w:r>
      <w:r w:rsidR="00BA59BF" w:rsidRPr="001B1CF6">
        <w:rPr>
          <w:rFonts w:ascii="Arial" w:eastAsia="Segoe UI" w:hAnsi="Arial" w:cs="Arial"/>
          <w:spacing w:val="-2"/>
        </w:rPr>
        <w:t xml:space="preserve">rodzi </w:t>
      </w:r>
      <w:r w:rsidR="00504328" w:rsidRPr="001B1CF6">
        <w:rPr>
          <w:rFonts w:ascii="Arial" w:eastAsia="Segoe UI" w:hAnsi="Arial" w:cs="Arial"/>
          <w:spacing w:val="-2"/>
        </w:rPr>
        <w:t>wątpliwości,</w:t>
      </w:r>
      <w:r w:rsidR="00BA59BF" w:rsidRPr="001B1CF6">
        <w:rPr>
          <w:rFonts w:ascii="Arial" w:eastAsia="Segoe UI" w:hAnsi="Arial" w:cs="Arial"/>
          <w:spacing w:val="-2"/>
        </w:rPr>
        <w:t xml:space="preserve"> o których mowa w protokole kontroli. </w:t>
      </w:r>
      <w:r w:rsidR="00EE0FF1" w:rsidRPr="001B1CF6">
        <w:rPr>
          <w:rFonts w:ascii="Arial" w:eastAsia="Segoe UI" w:hAnsi="Arial" w:cs="Arial"/>
          <w:spacing w:val="-2"/>
        </w:rPr>
        <w:t xml:space="preserve"> Przypomnieć </w:t>
      </w:r>
      <w:r w:rsidR="00504328" w:rsidRPr="001B1CF6">
        <w:rPr>
          <w:rFonts w:ascii="Arial" w:eastAsia="Segoe UI" w:hAnsi="Arial" w:cs="Arial"/>
          <w:spacing w:val="-2"/>
        </w:rPr>
        <w:t>należy,</w:t>
      </w:r>
      <w:r w:rsidR="00EE0FF1" w:rsidRPr="001B1CF6">
        <w:rPr>
          <w:rFonts w:ascii="Arial" w:eastAsia="Segoe UI" w:hAnsi="Arial" w:cs="Arial"/>
          <w:spacing w:val="-2"/>
        </w:rPr>
        <w:t xml:space="preserve"> że spis z natury polega </w:t>
      </w:r>
      <w:r w:rsidR="00BA795F" w:rsidRPr="001B1CF6">
        <w:rPr>
          <w:rFonts w:ascii="Arial" w:eastAsia="Segoe UI" w:hAnsi="Arial" w:cs="Arial"/>
          <w:spacing w:val="-2"/>
        </w:rPr>
        <w:t>na ujęciu w arkuszu wszystkich elementów majątku znajdujących się na terenie szkoły. Jeśli zatem zgodnie z</w:t>
      </w:r>
      <w:r w:rsidR="001B1CF6" w:rsidRPr="001B1CF6">
        <w:rPr>
          <w:rFonts w:ascii="Arial" w:eastAsia="Segoe UI" w:hAnsi="Arial" w:cs="Arial"/>
          <w:spacing w:val="-2"/>
        </w:rPr>
        <w:t> </w:t>
      </w:r>
      <w:r w:rsidR="00BA795F" w:rsidRPr="001B1CF6">
        <w:rPr>
          <w:rFonts w:ascii="Arial" w:eastAsia="Segoe UI" w:hAnsi="Arial" w:cs="Arial"/>
          <w:spacing w:val="-2"/>
        </w:rPr>
        <w:t>wyjaśnieniami Dyrektora ww.  niedobory nie posiadały stosownego oznakowania, należało je ująć w arkuszach jako nadwyżki, czego zespół spisowy nie dokonał. Jeżeli natomiast Komisja inwentaryzacyjna uznaje, że środki te nie zostały spisane z uwagi na fakt, że znajdowały się w</w:t>
      </w:r>
      <w:r w:rsidR="001B1CF6" w:rsidRPr="001B1CF6">
        <w:rPr>
          <w:rFonts w:ascii="Arial" w:eastAsia="Segoe UI" w:hAnsi="Arial" w:cs="Arial"/>
          <w:spacing w:val="-2"/>
        </w:rPr>
        <w:t> </w:t>
      </w:r>
      <w:r w:rsidR="00BA795F" w:rsidRPr="001B1CF6">
        <w:rPr>
          <w:rFonts w:ascii="Arial" w:eastAsia="Segoe UI" w:hAnsi="Arial" w:cs="Arial"/>
          <w:spacing w:val="-2"/>
        </w:rPr>
        <w:t>pomieszczeniach nieudostępnionych w czasie spisu, należało zwrócić się do Dyrektora o</w:t>
      </w:r>
      <w:r w:rsidR="001B1CF6" w:rsidRPr="001B1CF6">
        <w:rPr>
          <w:rFonts w:ascii="Arial" w:eastAsia="Segoe UI" w:hAnsi="Arial" w:cs="Arial"/>
          <w:spacing w:val="-2"/>
        </w:rPr>
        <w:t> </w:t>
      </w:r>
      <w:r w:rsidR="00BA795F" w:rsidRPr="001B1CF6">
        <w:rPr>
          <w:rFonts w:ascii="Arial" w:eastAsia="Segoe UI" w:hAnsi="Arial" w:cs="Arial"/>
          <w:spacing w:val="-2"/>
        </w:rPr>
        <w:t>wyjaśnienie tej kwesti</w:t>
      </w:r>
      <w:r w:rsidR="007029EB" w:rsidRPr="001B1CF6">
        <w:rPr>
          <w:rFonts w:ascii="Arial" w:eastAsia="Segoe UI" w:hAnsi="Arial" w:cs="Arial"/>
          <w:spacing w:val="-2"/>
        </w:rPr>
        <w:t>i</w:t>
      </w:r>
      <w:r w:rsidR="00BA795F" w:rsidRPr="001B1CF6">
        <w:rPr>
          <w:rFonts w:ascii="Arial" w:eastAsia="Segoe UI" w:hAnsi="Arial" w:cs="Arial"/>
          <w:spacing w:val="-2"/>
        </w:rPr>
        <w:t xml:space="preserve"> i ewentualne uściślenie złożonych wyjaśnień. </w:t>
      </w:r>
    </w:p>
    <w:p w14:paraId="50856DE3" w14:textId="77777777" w:rsidR="003D146B" w:rsidRPr="003D146B" w:rsidRDefault="003D146B" w:rsidP="00416BF7">
      <w:pPr>
        <w:spacing w:after="0" w:line="360" w:lineRule="auto"/>
        <w:jc w:val="both"/>
        <w:rPr>
          <w:rFonts w:ascii="Arial" w:eastAsia="Segoe UI" w:hAnsi="Arial" w:cs="Arial"/>
          <w:spacing w:val="-2"/>
          <w:sz w:val="10"/>
          <w:szCs w:val="10"/>
        </w:rPr>
      </w:pPr>
    </w:p>
    <w:p w14:paraId="6E798F72" w14:textId="12F315C8" w:rsidR="003D146B" w:rsidRDefault="003D146B" w:rsidP="003D146B">
      <w:pPr>
        <w:spacing w:after="0" w:line="360" w:lineRule="auto"/>
        <w:ind w:left="5157"/>
        <w:jc w:val="both"/>
        <w:rPr>
          <w:rFonts w:ascii="Arial" w:eastAsia="Segoe UI" w:hAnsi="Arial" w:cs="Arial"/>
          <w:spacing w:val="-2"/>
        </w:rPr>
      </w:pPr>
      <w:r>
        <w:rPr>
          <w:rFonts w:ascii="Arial" w:eastAsia="Segoe UI" w:hAnsi="Arial" w:cs="Arial"/>
          <w:spacing w:val="-2"/>
        </w:rPr>
        <w:t xml:space="preserve">  Naczelnik Wydziału Kontroli</w:t>
      </w:r>
    </w:p>
    <w:p w14:paraId="6611998E" w14:textId="45B5E4FA" w:rsidR="003D146B" w:rsidRPr="001B1CF6" w:rsidRDefault="003D146B" w:rsidP="003D146B">
      <w:pPr>
        <w:spacing w:after="0" w:line="360" w:lineRule="auto"/>
        <w:ind w:left="5157" w:firstLine="573"/>
        <w:jc w:val="both"/>
        <w:rPr>
          <w:rFonts w:ascii="Arial" w:eastAsia="Segoe UI" w:hAnsi="Arial" w:cs="Arial"/>
          <w:spacing w:val="-2"/>
        </w:rPr>
      </w:pPr>
      <w:r>
        <w:rPr>
          <w:rFonts w:ascii="Arial" w:eastAsia="Segoe UI" w:hAnsi="Arial" w:cs="Arial"/>
          <w:spacing w:val="-2"/>
        </w:rPr>
        <w:t xml:space="preserve">Agnieszka </w:t>
      </w:r>
      <w:proofErr w:type="spellStart"/>
      <w:r>
        <w:rPr>
          <w:rFonts w:ascii="Arial" w:eastAsia="Segoe UI" w:hAnsi="Arial" w:cs="Arial"/>
          <w:spacing w:val="-2"/>
        </w:rPr>
        <w:t>Olak</w:t>
      </w:r>
      <w:proofErr w:type="spellEnd"/>
    </w:p>
    <w:sectPr w:rsidR="003D146B" w:rsidRPr="001B1CF6" w:rsidSect="009B6579">
      <w:footerReference w:type="default" r:id="rId8"/>
      <w:headerReference w:type="first" r:id="rId9"/>
      <w:footerReference w:type="first" r:id="rId10"/>
      <w:pgSz w:w="11906" w:h="16838"/>
      <w:pgMar w:top="1426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49F7" w14:textId="77777777" w:rsidR="00AB7B08" w:rsidRDefault="00AB7B08" w:rsidP="00033471">
      <w:pPr>
        <w:spacing w:after="0" w:line="240" w:lineRule="auto"/>
      </w:pPr>
      <w:r>
        <w:separator/>
      </w:r>
    </w:p>
  </w:endnote>
  <w:endnote w:type="continuationSeparator" w:id="0">
    <w:p w14:paraId="66628D15" w14:textId="77777777" w:rsidR="00AB7B08" w:rsidRDefault="00AB7B08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5C37" w14:textId="77777777" w:rsidR="00AB7B08" w:rsidRDefault="00AB7B08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9D5DBE" wp14:editId="4122108C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A78C" w14:textId="77777777" w:rsidR="00AB7B08" w:rsidRDefault="00AB7B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C0204D" wp14:editId="3FA3F068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7EE0" w14:textId="77777777" w:rsidR="00AB7B08" w:rsidRDefault="00AB7B08" w:rsidP="00033471">
      <w:pPr>
        <w:spacing w:after="0" w:line="240" w:lineRule="auto"/>
      </w:pPr>
      <w:r>
        <w:separator/>
      </w:r>
    </w:p>
  </w:footnote>
  <w:footnote w:type="continuationSeparator" w:id="0">
    <w:p w14:paraId="1B9E19B2" w14:textId="77777777" w:rsidR="00AB7B08" w:rsidRDefault="00AB7B08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0423" w14:textId="77777777" w:rsidR="00AB7B08" w:rsidRDefault="00AB7B08" w:rsidP="00742C97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E1B27C" wp14:editId="378920E7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60310" cy="1621155"/>
          <wp:effectExtent l="19050" t="0" r="2540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2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E25"/>
    <w:multiLevelType w:val="hybridMultilevel"/>
    <w:tmpl w:val="DBA4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077"/>
    <w:multiLevelType w:val="hybridMultilevel"/>
    <w:tmpl w:val="248450DC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6C2A5EA4"/>
    <w:multiLevelType w:val="hybridMultilevel"/>
    <w:tmpl w:val="FD043D5E"/>
    <w:lvl w:ilvl="0" w:tplc="D150755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7A5A161B"/>
    <w:multiLevelType w:val="hybridMultilevel"/>
    <w:tmpl w:val="5A945F26"/>
    <w:lvl w:ilvl="0" w:tplc="D126596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60004739">
    <w:abstractNumId w:val="2"/>
  </w:num>
  <w:num w:numId="2" w16cid:durableId="2100178139">
    <w:abstractNumId w:val="0"/>
  </w:num>
  <w:num w:numId="3" w16cid:durableId="540098747">
    <w:abstractNumId w:val="3"/>
  </w:num>
  <w:num w:numId="4" w16cid:durableId="203392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573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471"/>
    <w:rsid w:val="00006315"/>
    <w:rsid w:val="00022459"/>
    <w:rsid w:val="00033471"/>
    <w:rsid w:val="000B300E"/>
    <w:rsid w:val="00157AF5"/>
    <w:rsid w:val="001A3256"/>
    <w:rsid w:val="001A4B81"/>
    <w:rsid w:val="001B1CF6"/>
    <w:rsid w:val="001E5E1D"/>
    <w:rsid w:val="00215FEC"/>
    <w:rsid w:val="0021758B"/>
    <w:rsid w:val="00237101"/>
    <w:rsid w:val="00243AD1"/>
    <w:rsid w:val="002C7103"/>
    <w:rsid w:val="0035127B"/>
    <w:rsid w:val="00356856"/>
    <w:rsid w:val="003836C4"/>
    <w:rsid w:val="003928BD"/>
    <w:rsid w:val="003A3383"/>
    <w:rsid w:val="003D146B"/>
    <w:rsid w:val="00404142"/>
    <w:rsid w:val="00412FF6"/>
    <w:rsid w:val="00416BF7"/>
    <w:rsid w:val="00424E9A"/>
    <w:rsid w:val="00504328"/>
    <w:rsid w:val="00543A9C"/>
    <w:rsid w:val="005826B4"/>
    <w:rsid w:val="005A5584"/>
    <w:rsid w:val="00605B75"/>
    <w:rsid w:val="0068262C"/>
    <w:rsid w:val="006C3DF6"/>
    <w:rsid w:val="007029EB"/>
    <w:rsid w:val="00711DDE"/>
    <w:rsid w:val="00742C97"/>
    <w:rsid w:val="00774D40"/>
    <w:rsid w:val="007949B7"/>
    <w:rsid w:val="007A21FC"/>
    <w:rsid w:val="007A7444"/>
    <w:rsid w:val="007D5334"/>
    <w:rsid w:val="008236A3"/>
    <w:rsid w:val="008245AC"/>
    <w:rsid w:val="0090613C"/>
    <w:rsid w:val="00920C82"/>
    <w:rsid w:val="00927A93"/>
    <w:rsid w:val="009853CB"/>
    <w:rsid w:val="009B6579"/>
    <w:rsid w:val="00A20F98"/>
    <w:rsid w:val="00A54F27"/>
    <w:rsid w:val="00A57938"/>
    <w:rsid w:val="00A64A09"/>
    <w:rsid w:val="00AA78CE"/>
    <w:rsid w:val="00AB7B08"/>
    <w:rsid w:val="00B0418C"/>
    <w:rsid w:val="00B5379F"/>
    <w:rsid w:val="00BA59BF"/>
    <w:rsid w:val="00BA795F"/>
    <w:rsid w:val="00BB6998"/>
    <w:rsid w:val="00C856BF"/>
    <w:rsid w:val="00CC3B42"/>
    <w:rsid w:val="00CD5C73"/>
    <w:rsid w:val="00D21A4A"/>
    <w:rsid w:val="00D56C7A"/>
    <w:rsid w:val="00D74BB2"/>
    <w:rsid w:val="00DA4B9F"/>
    <w:rsid w:val="00DA61CB"/>
    <w:rsid w:val="00DC4497"/>
    <w:rsid w:val="00DC67E4"/>
    <w:rsid w:val="00DC6AFA"/>
    <w:rsid w:val="00E0119E"/>
    <w:rsid w:val="00E03E8B"/>
    <w:rsid w:val="00E53193"/>
    <w:rsid w:val="00EE0FF1"/>
    <w:rsid w:val="00F23953"/>
    <w:rsid w:val="00F4244E"/>
    <w:rsid w:val="00F4331A"/>
    <w:rsid w:val="00F660FC"/>
    <w:rsid w:val="00FB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2EA8BCC"/>
  <w15:docId w15:val="{BCA02C32-AFFB-4713-BCDC-6D3BB482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9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B65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B6579"/>
    <w:rPr>
      <w:b/>
      <w:bCs/>
    </w:rPr>
  </w:style>
  <w:style w:type="paragraph" w:styleId="Akapitzlist">
    <w:name w:val="List Paragraph"/>
    <w:basedOn w:val="Normalny"/>
    <w:uiPriority w:val="34"/>
    <w:qFormat/>
    <w:rsid w:val="009B6579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9B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B65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B6579"/>
    <w:rPr>
      <w:i/>
      <w:iCs/>
    </w:rPr>
  </w:style>
  <w:style w:type="paragraph" w:customStyle="1" w:styleId="Tekst">
    <w:name w:val="Tekst"/>
    <w:basedOn w:val="Podpis"/>
    <w:qFormat/>
    <w:rsid w:val="009B6579"/>
  </w:style>
  <w:style w:type="paragraph" w:styleId="Podpis">
    <w:name w:val="Signature"/>
    <w:basedOn w:val="Normalny"/>
    <w:link w:val="PodpisZnak"/>
    <w:uiPriority w:val="99"/>
    <w:semiHidden/>
    <w:unhideWhenUsed/>
    <w:rsid w:val="009B657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B657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7931-9311-4777-9B30-41B25B29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15</cp:revision>
  <dcterms:created xsi:type="dcterms:W3CDTF">2018-06-08T10:22:00Z</dcterms:created>
  <dcterms:modified xsi:type="dcterms:W3CDTF">2024-05-27T11:22:00Z</dcterms:modified>
</cp:coreProperties>
</file>