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6C" w:rsidRPr="00BD5C04" w:rsidRDefault="00CE476C" w:rsidP="00CE476C">
      <w:pPr>
        <w:jc w:val="right"/>
        <w:rPr>
          <w:rFonts w:ascii="Arial" w:hAnsi="Arial"/>
          <w:sz w:val="16"/>
          <w:szCs w:val="16"/>
        </w:rPr>
      </w:pPr>
      <w:r w:rsidRPr="00BD5C04">
        <w:rPr>
          <w:rFonts w:ascii="Arial" w:hAnsi="Arial"/>
          <w:sz w:val="16"/>
          <w:szCs w:val="16"/>
        </w:rPr>
        <w:t>Załącznik Nr 3</w:t>
      </w:r>
    </w:p>
    <w:p w:rsidR="00CE476C" w:rsidRPr="00BD5C04" w:rsidRDefault="00CE476C" w:rsidP="00CE476C">
      <w:pPr>
        <w:jc w:val="right"/>
        <w:rPr>
          <w:rFonts w:ascii="Arial" w:hAnsi="Arial"/>
          <w:sz w:val="16"/>
          <w:szCs w:val="16"/>
        </w:rPr>
      </w:pPr>
      <w:r w:rsidRPr="00BD5C04">
        <w:rPr>
          <w:rFonts w:ascii="Arial" w:hAnsi="Arial"/>
          <w:sz w:val="16"/>
          <w:szCs w:val="16"/>
        </w:rPr>
        <w:t>do Zarządzenia Nr</w:t>
      </w:r>
      <w:r w:rsidR="00CC58B8" w:rsidRPr="00BD5C04">
        <w:rPr>
          <w:rFonts w:ascii="Arial" w:hAnsi="Arial"/>
          <w:sz w:val="16"/>
          <w:szCs w:val="16"/>
        </w:rPr>
        <w:t xml:space="preserve"> 0</w:t>
      </w:r>
      <w:r w:rsidR="00EA6533">
        <w:rPr>
          <w:rFonts w:ascii="Arial" w:hAnsi="Arial"/>
          <w:sz w:val="16"/>
          <w:szCs w:val="16"/>
        </w:rPr>
        <w:t>0</w:t>
      </w:r>
      <w:r w:rsidR="00CC58B8" w:rsidRPr="00BD5C04">
        <w:rPr>
          <w:rFonts w:ascii="Arial" w:hAnsi="Arial"/>
          <w:sz w:val="16"/>
          <w:szCs w:val="16"/>
        </w:rPr>
        <w:t>50/</w:t>
      </w:r>
      <w:r w:rsidR="00D87124">
        <w:rPr>
          <w:rFonts w:ascii="Arial" w:hAnsi="Arial"/>
          <w:sz w:val="16"/>
          <w:szCs w:val="16"/>
        </w:rPr>
        <w:t>120</w:t>
      </w:r>
      <w:r w:rsidR="00CC58B8" w:rsidRPr="00BD5C04">
        <w:rPr>
          <w:rFonts w:ascii="Arial" w:hAnsi="Arial"/>
          <w:sz w:val="16"/>
          <w:szCs w:val="16"/>
        </w:rPr>
        <w:t>/2</w:t>
      </w:r>
      <w:r w:rsidR="00323317">
        <w:rPr>
          <w:rFonts w:ascii="Arial" w:hAnsi="Arial"/>
          <w:sz w:val="16"/>
          <w:szCs w:val="16"/>
        </w:rPr>
        <w:t>4</w:t>
      </w:r>
    </w:p>
    <w:p w:rsidR="00CE476C" w:rsidRPr="00BD5C04" w:rsidRDefault="00CE476C" w:rsidP="00CE476C">
      <w:pPr>
        <w:jc w:val="right"/>
        <w:rPr>
          <w:rFonts w:ascii="Arial" w:hAnsi="Arial"/>
          <w:sz w:val="16"/>
          <w:szCs w:val="16"/>
        </w:rPr>
      </w:pPr>
      <w:r w:rsidRPr="00BD5C04">
        <w:rPr>
          <w:rFonts w:ascii="Arial" w:hAnsi="Arial"/>
          <w:sz w:val="16"/>
          <w:szCs w:val="16"/>
        </w:rPr>
        <w:t>Prezydenta Miasta Tychy</w:t>
      </w:r>
    </w:p>
    <w:p w:rsidR="00CE476C" w:rsidRPr="00BD5C04" w:rsidRDefault="00CE476C" w:rsidP="00CE476C">
      <w:pPr>
        <w:jc w:val="right"/>
        <w:rPr>
          <w:rFonts w:ascii="Arial" w:hAnsi="Arial"/>
          <w:sz w:val="16"/>
          <w:szCs w:val="16"/>
        </w:rPr>
      </w:pPr>
      <w:r w:rsidRPr="00BD5C04">
        <w:rPr>
          <w:rFonts w:ascii="Arial" w:hAnsi="Arial"/>
          <w:sz w:val="16"/>
          <w:szCs w:val="16"/>
        </w:rPr>
        <w:t>z dnia</w:t>
      </w:r>
      <w:r w:rsidR="001A2CAA">
        <w:rPr>
          <w:rFonts w:ascii="Arial" w:hAnsi="Arial"/>
          <w:sz w:val="16"/>
          <w:szCs w:val="16"/>
        </w:rPr>
        <w:t xml:space="preserve"> </w:t>
      </w:r>
      <w:r w:rsidR="00D87124">
        <w:rPr>
          <w:rFonts w:ascii="Arial" w:hAnsi="Arial"/>
          <w:sz w:val="16"/>
          <w:szCs w:val="16"/>
        </w:rPr>
        <w:t>29</w:t>
      </w:r>
      <w:r w:rsidR="0029095A" w:rsidRPr="00BD5C04">
        <w:rPr>
          <w:rFonts w:ascii="Arial" w:hAnsi="Arial"/>
          <w:sz w:val="16"/>
          <w:szCs w:val="16"/>
        </w:rPr>
        <w:t xml:space="preserve"> marca</w:t>
      </w:r>
      <w:r w:rsidR="00A55B4B" w:rsidRPr="00BD5C04">
        <w:rPr>
          <w:rFonts w:ascii="Arial" w:hAnsi="Arial"/>
          <w:sz w:val="16"/>
          <w:szCs w:val="16"/>
        </w:rPr>
        <w:t xml:space="preserve"> 202</w:t>
      </w:r>
      <w:r w:rsidR="00323317">
        <w:rPr>
          <w:rFonts w:ascii="Arial" w:hAnsi="Arial"/>
          <w:sz w:val="16"/>
          <w:szCs w:val="16"/>
        </w:rPr>
        <w:t>4</w:t>
      </w:r>
      <w:r w:rsidRPr="00BD5C04">
        <w:rPr>
          <w:rFonts w:ascii="Arial" w:hAnsi="Arial"/>
          <w:sz w:val="16"/>
          <w:szCs w:val="16"/>
        </w:rPr>
        <w:t xml:space="preserve"> r.</w:t>
      </w:r>
    </w:p>
    <w:p w:rsidR="00044C0C" w:rsidRDefault="001A7101" w:rsidP="00E579F1">
      <w:pPr>
        <w:pStyle w:val="Standard"/>
        <w:widowControl w:val="0"/>
        <w:spacing w:line="360" w:lineRule="auto"/>
        <w:ind w:left="3673" w:right="3653"/>
        <w:jc w:val="center"/>
        <w:rPr>
          <w:rFonts w:ascii="Arial" w:hAnsi="Arial" w:cs="Arial"/>
          <w:b/>
          <w:color w:val="2E2014"/>
          <w:sz w:val="22"/>
          <w:szCs w:val="22"/>
        </w:rPr>
      </w:pPr>
      <w:r>
        <w:rPr>
          <w:rFonts w:ascii="Arial" w:hAnsi="Arial" w:cs="Arial"/>
          <w:b/>
          <w:color w:val="2E2014"/>
          <w:sz w:val="22"/>
          <w:szCs w:val="22"/>
        </w:rPr>
        <w:t>I</w:t>
      </w:r>
      <w:r w:rsidR="00155AE2">
        <w:rPr>
          <w:rFonts w:ascii="Arial" w:hAnsi="Arial" w:cs="Arial"/>
          <w:b/>
          <w:color w:val="2E2014"/>
          <w:sz w:val="22"/>
          <w:szCs w:val="22"/>
        </w:rPr>
        <w:t>NFORMACJA DODATKOWA</w:t>
      </w:r>
    </w:p>
    <w:p w:rsidR="00705809" w:rsidRDefault="00705809" w:rsidP="00E579F1">
      <w:pPr>
        <w:pStyle w:val="Standard"/>
        <w:widowControl w:val="0"/>
        <w:spacing w:line="360" w:lineRule="auto"/>
        <w:ind w:left="3673" w:right="3653"/>
        <w:jc w:val="center"/>
      </w:pPr>
    </w:p>
    <w:tbl>
      <w:tblPr>
        <w:tblW w:w="9781" w:type="dxa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214"/>
      </w:tblGrid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6" w:right="-23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809" w:rsidRPr="00BD5C04" w:rsidRDefault="00705809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0535" w:rsidRPr="00BD5C04" w:rsidRDefault="007D0535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BD5C04">
              <w:rPr>
                <w:rFonts w:ascii="Arial" w:hAnsi="Arial"/>
                <w:sz w:val="22"/>
                <w:szCs w:val="22"/>
              </w:rPr>
              <w:t>Muzeum Miejskie w Tychach jest instytucją kultury utworzoną Uchwałą Rady Miasta Tychy nr 0150/472/2000 z dnia 31 sierpnia 2000 r., i działającą od 15 listopada 2004 roku na podstawie Zarządzenia Prezydenta Miasta Tychy Nr 0151/171/04 z dnia 15 listopada 2004</w:t>
            </w:r>
            <w:r w:rsidR="002D6D64">
              <w:rPr>
                <w:rFonts w:ascii="Arial" w:hAnsi="Arial"/>
                <w:sz w:val="22"/>
                <w:szCs w:val="22"/>
              </w:rPr>
              <w:t> </w:t>
            </w:r>
            <w:r w:rsidRPr="00BD5C04">
              <w:rPr>
                <w:rFonts w:ascii="Arial" w:hAnsi="Arial"/>
                <w:sz w:val="22"/>
                <w:szCs w:val="22"/>
              </w:rPr>
              <w:t>r.</w:t>
            </w:r>
            <w:r w:rsidR="001A2CAA">
              <w:rPr>
                <w:rFonts w:ascii="Arial" w:hAnsi="Arial"/>
                <w:sz w:val="22"/>
                <w:szCs w:val="22"/>
              </w:rPr>
              <w:t xml:space="preserve"> </w:t>
            </w:r>
            <w:r w:rsidRPr="00BD5C04">
              <w:rPr>
                <w:rFonts w:ascii="Arial" w:hAnsi="Arial"/>
                <w:sz w:val="22"/>
                <w:szCs w:val="22"/>
              </w:rPr>
              <w:t>Muzeum Miejskie w Tychach działa w szczególności na podstawie ustawy z dnia 21 listopada 1996 r., o muzeach (Dz. U. 202</w:t>
            </w:r>
            <w:r w:rsidR="00705809" w:rsidRPr="00BD5C04">
              <w:rPr>
                <w:rFonts w:ascii="Arial" w:hAnsi="Arial"/>
                <w:sz w:val="22"/>
                <w:szCs w:val="22"/>
              </w:rPr>
              <w:t>2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poz.</w:t>
            </w:r>
            <w:r w:rsidR="00705809" w:rsidRPr="00BD5C04">
              <w:rPr>
                <w:rFonts w:ascii="Arial" w:hAnsi="Arial"/>
                <w:sz w:val="22"/>
                <w:szCs w:val="22"/>
              </w:rPr>
              <w:t>385</w:t>
            </w:r>
            <w:r w:rsidR="009767BF" w:rsidRPr="00BD5C0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9767BF" w:rsidRPr="00BD5C04">
              <w:rPr>
                <w:rFonts w:ascii="Arial" w:hAnsi="Arial"/>
                <w:sz w:val="22"/>
                <w:szCs w:val="22"/>
              </w:rPr>
              <w:t>t.j</w:t>
            </w:r>
            <w:proofErr w:type="spellEnd"/>
            <w:r w:rsidR="009767BF" w:rsidRPr="00BD5C04">
              <w:rPr>
                <w:rFonts w:ascii="Arial" w:hAnsi="Arial"/>
                <w:sz w:val="22"/>
                <w:szCs w:val="22"/>
              </w:rPr>
              <w:t>.</w:t>
            </w:r>
            <w:r w:rsidRPr="00BD5C04">
              <w:rPr>
                <w:rFonts w:ascii="Arial" w:hAnsi="Arial"/>
                <w:sz w:val="22"/>
                <w:szCs w:val="22"/>
              </w:rPr>
              <w:t>) i ustawy z dnia 25.10.1991</w:t>
            </w:r>
            <w:r w:rsidR="002D6D64">
              <w:rPr>
                <w:rFonts w:ascii="Arial" w:hAnsi="Arial"/>
                <w:sz w:val="22"/>
                <w:szCs w:val="22"/>
              </w:rPr>
              <w:t xml:space="preserve">r. </w:t>
            </w:r>
            <w:r w:rsidRPr="00BD5C04">
              <w:rPr>
                <w:rFonts w:ascii="Arial" w:hAnsi="Arial"/>
                <w:sz w:val="22"/>
                <w:szCs w:val="22"/>
              </w:rPr>
              <w:t>o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 </w:t>
            </w:r>
            <w:r w:rsidRPr="00BD5C04">
              <w:rPr>
                <w:rFonts w:ascii="Arial" w:hAnsi="Arial"/>
                <w:sz w:val="22"/>
                <w:szCs w:val="22"/>
              </w:rPr>
              <w:t>organizowaniu i prowadzeniu działalności kulturalnej (Dz. U. 20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20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poz. 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194 ze zm.</w:t>
            </w:r>
            <w:r w:rsidRPr="00BD5C04">
              <w:rPr>
                <w:rFonts w:ascii="Arial" w:hAnsi="Arial"/>
                <w:sz w:val="22"/>
                <w:szCs w:val="22"/>
              </w:rPr>
              <w:t>) oraz na podstawie Statutu Muzeum Miejskiego w Tychach zatwierdzonego Uchwałą Rady Miasta Tychy Nr</w:t>
            </w:r>
            <w:r w:rsidR="002D6D64">
              <w:rPr>
                <w:rFonts w:ascii="Arial" w:hAnsi="Arial"/>
                <w:sz w:val="22"/>
                <w:szCs w:val="22"/>
              </w:rPr>
              <w:t> 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0150/472/2000 z dnia 31 sierpnia 2000 r., zmienionego uchwałą Nr 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XIX</w:t>
            </w:r>
            <w:r w:rsidRPr="00BD5C04">
              <w:rPr>
                <w:rFonts w:ascii="Arial" w:hAnsi="Arial"/>
                <w:sz w:val="22"/>
                <w:szCs w:val="22"/>
              </w:rPr>
              <w:t>/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399</w:t>
            </w:r>
            <w:r w:rsidRPr="00BD5C04">
              <w:rPr>
                <w:rFonts w:ascii="Arial" w:hAnsi="Arial"/>
                <w:sz w:val="22"/>
                <w:szCs w:val="22"/>
              </w:rPr>
              <w:t>/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20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Rady Miasta Tychy z dnia 2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7sierpnia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20</w:t>
            </w:r>
            <w:r w:rsidR="009767BF" w:rsidRPr="00BD5C04">
              <w:rPr>
                <w:rFonts w:ascii="Arial" w:hAnsi="Arial"/>
                <w:sz w:val="22"/>
                <w:szCs w:val="22"/>
              </w:rPr>
              <w:t>20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r.</w:t>
            </w:r>
          </w:p>
          <w:p w:rsidR="00753744" w:rsidRPr="00BD5C04" w:rsidRDefault="00753744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BD5C04">
              <w:rPr>
                <w:rFonts w:ascii="Arial" w:hAnsi="Arial"/>
                <w:sz w:val="22"/>
                <w:szCs w:val="22"/>
              </w:rPr>
              <w:t>Muzeum Miejskie w Tychach jest zarejestrowane jako instytucja kultury w Rejestrze Instytucji Kultury</w:t>
            </w:r>
            <w:r w:rsidR="008E37B1" w:rsidRPr="00BD5C04">
              <w:rPr>
                <w:rFonts w:ascii="Arial" w:hAnsi="Arial"/>
                <w:sz w:val="22"/>
                <w:szCs w:val="22"/>
              </w:rPr>
              <w:t xml:space="preserve"> pod numerem 4,</w:t>
            </w:r>
            <w:r w:rsidRPr="00BD5C04">
              <w:rPr>
                <w:rFonts w:ascii="Arial" w:hAnsi="Arial"/>
                <w:sz w:val="22"/>
                <w:szCs w:val="22"/>
              </w:rPr>
              <w:t xml:space="preserve"> prowadzonym przez organizatora.</w:t>
            </w:r>
          </w:p>
          <w:p w:rsidR="009D77F5" w:rsidRPr="00BD5C04" w:rsidRDefault="009D77F5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BD5C04">
              <w:rPr>
                <w:rFonts w:ascii="Arial" w:hAnsi="Arial" w:cs="Arial"/>
                <w:sz w:val="22"/>
                <w:szCs w:val="22"/>
              </w:rPr>
              <w:t>Sprawozdanie finansowe zostało sporządzone przy założeniu kontynuacji działania i nie istnieją przesłanki wskazujące na zagrożenie tej działalności</w:t>
            </w:r>
          </w:p>
          <w:p w:rsidR="00705809" w:rsidRPr="00BD5C04" w:rsidRDefault="00705809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nazwę jednostki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7D0535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Muzeum Miejskie w Tychach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siedzibę jednostki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594562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9F1">
              <w:rPr>
                <w:rFonts w:ascii="Arial" w:hAnsi="Arial" w:cs="Arial"/>
                <w:sz w:val="22"/>
                <w:szCs w:val="22"/>
              </w:rPr>
              <w:t xml:space="preserve">43-100 Tychy, </w:t>
            </w:r>
            <w:r w:rsidR="00594562">
              <w:rPr>
                <w:rFonts w:ascii="Arial" w:hAnsi="Arial" w:cs="Arial"/>
                <w:sz w:val="22"/>
                <w:szCs w:val="22"/>
              </w:rPr>
              <w:t>pl. Wolności 1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adres jednostki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594562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43-100 Tychy, </w:t>
            </w:r>
            <w:r w:rsidR="00594562">
              <w:rPr>
                <w:rFonts w:ascii="Arial" w:hAnsi="Arial" w:cs="Arial"/>
                <w:sz w:val="22"/>
                <w:szCs w:val="22"/>
              </w:rPr>
              <w:t>pl. Wolności 1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809" w:rsidRDefault="00705809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1. Gromadzenie zabytków, dzieł sztuki i materiałów dokumentacyjnych w statutowo określ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o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nym zakresie, pozyskiwanych w drodze zakupów, darowizn, zapisów, depozytów, wymiany;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2. Inwentaryzowanie, katalogowanie i naukowe opracowywanie zgromadzonych zbiorów oraz materiałów dokumentacyjnych;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3. Przechowywanie zgromadzonych zbiorów, w warunkach zapewniających im właściwy stan zachowania i bezpieczeństwo oraz magazynowaniu ich w sposób dostępny do celów nauk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o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wych;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4. Zabezpieczenie i konserwację zbiorów;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5. Urządzanie wystaw stałych i czasowych;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6. Organizowanie badań i ekspedycji naukowych;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7. Prowadzenie działalności edukacyjnej;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8. Popieranie i prowadzenie działalności artystycznej i upowszechniającej kulturę;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9. Udostępnianie zbiorów do celów edukacyjnych i naukowych;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10. Zapewnienie właściwych warunków zwiedzania oraz korzystania ze zbiorów i zgromadzonych informacji;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11. Prowadzenie archiwum i biblioteki zakładowej;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12. Prowadzenie działalności wydawniczej, w tym publikowanie i rozpowszechnianie katal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o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 xml:space="preserve">gów, przewodników po wystawach, materiałów informacyjnych, wyników badań  naukowych </w:t>
            </w:r>
            <w:r w:rsidR="001A2CAA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br/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z zakresu działalności Muzeum oraz wydawnictw naukowych oraz popularnonaukowych;</w:t>
            </w:r>
          </w:p>
          <w:p w:rsidR="003A30BC" w:rsidRPr="00705809" w:rsidRDefault="003A30BC" w:rsidP="00772D2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</w:pP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13. Współpracę z polskimi i zagranicznymi muzeami, administracją rządową i samorządową, instytucjami kultury, polskimi i zagranicznymi instytutami naukowo-badawczymi, organizacjami pozarządowymi, a także innymi osobami prawnymi, jednostkami nieposiadającymi osobow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o</w:t>
            </w:r>
            <w:r w:rsidRPr="00705809">
              <w:rPr>
                <w:rFonts w:ascii="Arial" w:hAnsi="Arial"/>
                <w:color w:val="000000"/>
                <w:kern w:val="0"/>
                <w:sz w:val="22"/>
                <w:szCs w:val="22"/>
                <w:lang w:bidi="ar-SA"/>
              </w:rPr>
              <w:t>ści prawnej oraz osobami fizycznymi.</w:t>
            </w:r>
          </w:p>
          <w:p w:rsidR="00594562" w:rsidRDefault="00594562" w:rsidP="003A30BC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705809" w:rsidP="00705809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2</w:t>
            </w:r>
            <w:r w:rsidR="00155AE2"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79097E" w:rsidP="0038545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C04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155AE2" w:rsidRPr="00BD5C04">
              <w:rPr>
                <w:rFonts w:ascii="Arial" w:hAnsi="Arial" w:cs="Arial"/>
                <w:sz w:val="22"/>
                <w:szCs w:val="22"/>
              </w:rPr>
              <w:t>1 stycz</w:t>
            </w:r>
            <w:r w:rsidRPr="00BD5C04">
              <w:rPr>
                <w:rFonts w:ascii="Arial" w:hAnsi="Arial" w:cs="Arial"/>
                <w:sz w:val="22"/>
                <w:szCs w:val="22"/>
              </w:rPr>
              <w:t>nia</w:t>
            </w:r>
            <w:r w:rsidR="001A2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41B" w:rsidRPr="00BD5C04">
              <w:rPr>
                <w:rFonts w:ascii="Arial" w:hAnsi="Arial" w:cs="Arial"/>
                <w:sz w:val="22"/>
                <w:szCs w:val="22"/>
              </w:rPr>
              <w:t>20</w:t>
            </w:r>
            <w:r w:rsidR="005355DE" w:rsidRPr="00BD5C04">
              <w:rPr>
                <w:rFonts w:ascii="Arial" w:hAnsi="Arial" w:cs="Arial"/>
                <w:sz w:val="22"/>
                <w:szCs w:val="22"/>
              </w:rPr>
              <w:t>2</w:t>
            </w:r>
            <w:r w:rsidR="00663CC8">
              <w:rPr>
                <w:rFonts w:ascii="Arial" w:hAnsi="Arial" w:cs="Arial"/>
                <w:sz w:val="22"/>
                <w:szCs w:val="22"/>
              </w:rPr>
              <w:t>3</w:t>
            </w:r>
            <w:r w:rsidR="0066141B" w:rsidRPr="00BD5C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2CAA">
              <w:rPr>
                <w:rFonts w:ascii="Arial" w:hAnsi="Arial" w:cs="Arial"/>
                <w:sz w:val="22"/>
                <w:szCs w:val="22"/>
              </w:rPr>
              <w:t xml:space="preserve">r. </w:t>
            </w:r>
            <w:r w:rsidR="0066141B" w:rsidRPr="00BD5C0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BD5C04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6141B" w:rsidRPr="00BD5C04">
              <w:rPr>
                <w:rFonts w:ascii="Arial" w:hAnsi="Arial" w:cs="Arial"/>
                <w:sz w:val="22"/>
                <w:szCs w:val="22"/>
              </w:rPr>
              <w:t>31 grud</w:t>
            </w:r>
            <w:r w:rsidRPr="00BD5C04">
              <w:rPr>
                <w:rFonts w:ascii="Arial" w:hAnsi="Arial" w:cs="Arial"/>
                <w:sz w:val="22"/>
                <w:szCs w:val="22"/>
              </w:rPr>
              <w:t>nia</w:t>
            </w:r>
            <w:r w:rsidR="0066141B" w:rsidRPr="00BD5C04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5355DE" w:rsidRPr="00BD5C04">
              <w:rPr>
                <w:rFonts w:ascii="Arial" w:hAnsi="Arial" w:cs="Arial"/>
                <w:sz w:val="22"/>
                <w:szCs w:val="22"/>
              </w:rPr>
              <w:t>2</w:t>
            </w:r>
            <w:r w:rsidR="00663CC8">
              <w:rPr>
                <w:rFonts w:ascii="Arial" w:hAnsi="Arial" w:cs="Arial"/>
                <w:sz w:val="22"/>
                <w:szCs w:val="22"/>
              </w:rPr>
              <w:t>3</w:t>
            </w:r>
            <w:r w:rsidR="001A2CA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wskazanie, że sprawozdanie finansowe zawiera dane łączne</w:t>
            </w:r>
          </w:p>
        </w:tc>
      </w:tr>
      <w:tr w:rsidR="00044C0C" w:rsidTr="00567987">
        <w:trPr>
          <w:trHeight w:val="18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809" w:rsidRDefault="00705809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Sprawozdanie sporządza w wersji pełnej wykazując w nim składniki aktywów </w:t>
            </w:r>
            <w:r>
              <w:rPr>
                <w:rFonts w:ascii="Arial" w:hAnsi="Arial"/>
                <w:sz w:val="22"/>
                <w:szCs w:val="22"/>
              </w:rPr>
              <w:br/>
              <w:t>i pasywów zgodnie z art. 50 ust. 1 ustawy o rachunkowości oraz przy założeniu kontynuowania działalności kulturalnej.</w:t>
            </w:r>
          </w:p>
          <w:p w:rsidR="00044C0C" w:rsidRDefault="00155AE2" w:rsidP="00E579F1">
            <w:pPr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Wyceny aktywów i pasywów dokonuje wg zasad określonych w przepisach rozdziału   czwartego ustawy o rachunkowości; zgodnie z art. 28 ustawy o rachunkowości aktywa i pasywa wycenia się nie rzadziej niż na dzień bilansowy w sposób następujący: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trwałe oraz wartości niematerialne i prawne wg cen nabycia lub kosztu w</w:t>
            </w:r>
            <w:r w:rsidRPr="00E579F1">
              <w:rPr>
                <w:rFonts w:ascii="Arial" w:hAnsi="Arial"/>
                <w:sz w:val="22"/>
                <w:szCs w:val="22"/>
              </w:rPr>
              <w:t>y</w:t>
            </w:r>
            <w:r w:rsidRPr="00E579F1">
              <w:rPr>
                <w:rFonts w:ascii="Arial" w:hAnsi="Arial"/>
                <w:sz w:val="22"/>
                <w:szCs w:val="22"/>
              </w:rPr>
              <w:t>tworzenia, lub wartości przeszacowanej (po aktualizacji wyceny przeprowadzonej zgodnie z odrębnymi przepisami) w wartości początkowej pomniejszonych o odpisy amortyzacyjne lub umorzeniowe, a także o odpisy z tytułu trwałej utraty wartości z uwzględnieniem przepisów art. 31, art. 32 ust. 1-5 i art. 33 ust. 1 lub wg ceny ry</w:t>
            </w:r>
            <w:r w:rsidRPr="00E579F1">
              <w:rPr>
                <w:rFonts w:ascii="Arial" w:hAnsi="Arial"/>
                <w:sz w:val="22"/>
                <w:szCs w:val="22"/>
              </w:rPr>
              <w:t>n</w:t>
            </w:r>
            <w:r w:rsidRPr="00E579F1">
              <w:rPr>
                <w:rFonts w:ascii="Arial" w:hAnsi="Arial"/>
                <w:sz w:val="22"/>
                <w:szCs w:val="22"/>
              </w:rPr>
              <w:t>kowej; nie umarza się gruntów i dóbr kultury;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inwestycje (środki trwałe w budowie) w wysokości ogółu poniesionych kosztów p</w:t>
            </w:r>
            <w:r w:rsidRPr="00E579F1">
              <w:rPr>
                <w:rFonts w:ascii="Arial" w:hAnsi="Arial"/>
                <w:sz w:val="22"/>
                <w:szCs w:val="22"/>
              </w:rPr>
              <w:t>o</w:t>
            </w:r>
            <w:r w:rsidRPr="00E579F1">
              <w:rPr>
                <w:rFonts w:ascii="Arial" w:hAnsi="Arial"/>
                <w:sz w:val="22"/>
                <w:szCs w:val="22"/>
              </w:rPr>
              <w:t>zostających w bezpośrednim związku z ich nabyciem lub wytworzeniem pomnie</w:t>
            </w:r>
            <w:r w:rsidRPr="00E579F1">
              <w:rPr>
                <w:rFonts w:ascii="Arial" w:hAnsi="Arial"/>
                <w:sz w:val="22"/>
                <w:szCs w:val="22"/>
              </w:rPr>
              <w:t>j</w:t>
            </w:r>
            <w:r w:rsidRPr="00E579F1">
              <w:rPr>
                <w:rFonts w:ascii="Arial" w:hAnsi="Arial"/>
                <w:sz w:val="22"/>
                <w:szCs w:val="22"/>
              </w:rPr>
              <w:t>szone o odpisy z tytułu trwałej utraty wartości;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rzeczowe składniki aktywów obrotowych wg cen nabycia lub kosztów wytworzenia nie wyższych od cen ich sprzedaży netto na dzień bilansowy; do bilansu wycenia si</w:t>
            </w:r>
            <w:r w:rsidR="002C69B6">
              <w:rPr>
                <w:rFonts w:ascii="Arial" w:hAnsi="Arial"/>
                <w:sz w:val="22"/>
                <w:szCs w:val="22"/>
              </w:rPr>
              <w:t>ę</w:t>
            </w:r>
            <w:r w:rsidRPr="00E579F1">
              <w:rPr>
                <w:rFonts w:ascii="Arial" w:hAnsi="Arial"/>
                <w:sz w:val="22"/>
                <w:szCs w:val="22"/>
              </w:rPr>
              <w:t xml:space="preserve"> wg wartości wynikającej z ewidencji; w </w:t>
            </w:r>
            <w:r w:rsidR="00F50651" w:rsidRPr="00E579F1">
              <w:rPr>
                <w:rFonts w:ascii="Arial" w:hAnsi="Arial"/>
                <w:sz w:val="22"/>
                <w:szCs w:val="22"/>
              </w:rPr>
              <w:t>jednostkach,</w:t>
            </w:r>
            <w:r w:rsidRPr="00E579F1">
              <w:rPr>
                <w:rFonts w:ascii="Arial" w:hAnsi="Arial"/>
                <w:sz w:val="22"/>
                <w:szCs w:val="22"/>
              </w:rPr>
              <w:t xml:space="preserve"> które prowadzą ewidencję zapasów wg cen ewidencyjnych i ewidencjonują odchylenia od cen zakupu, nabycia lub sprzedaży wartość zapasów na dzień bilansowy korygują odpowiednio o wartość odchyleń;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należności w kwocie wymaganej zapłaty; jeżeli jednostka dokonała odpisów aktual</w:t>
            </w:r>
            <w:r w:rsidRPr="00E579F1">
              <w:rPr>
                <w:rFonts w:ascii="Arial" w:hAnsi="Arial"/>
                <w:sz w:val="22"/>
                <w:szCs w:val="22"/>
              </w:rPr>
              <w:t>i</w:t>
            </w:r>
            <w:r w:rsidRPr="00E579F1">
              <w:rPr>
                <w:rFonts w:ascii="Arial" w:hAnsi="Arial"/>
                <w:sz w:val="22"/>
                <w:szCs w:val="22"/>
              </w:rPr>
              <w:t>zacyjnych i wartość tych odpisów została ujęta na koncie 290, to należności wyc</w:t>
            </w:r>
            <w:r w:rsidRPr="00E579F1">
              <w:rPr>
                <w:rFonts w:ascii="Arial" w:hAnsi="Arial"/>
                <w:sz w:val="22"/>
                <w:szCs w:val="22"/>
              </w:rPr>
              <w:t>e</w:t>
            </w:r>
            <w:r w:rsidRPr="00E579F1">
              <w:rPr>
                <w:rFonts w:ascii="Arial" w:hAnsi="Arial"/>
                <w:sz w:val="22"/>
                <w:szCs w:val="22"/>
              </w:rPr>
              <w:t>nione na dzień bilansowy wykazuje się po pomniejszeniu o wartość odpisów;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zobowiązania w kwocie wymaganej zapłaty;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pieniężne wg wartości nominalnej;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fundusze oraz pozostałe aktywa i pasywa wycenia się wg wartości wynikającej z ewidencji księgowej.</w:t>
            </w:r>
          </w:p>
          <w:p w:rsidR="00044C0C" w:rsidRDefault="00155AE2" w:rsidP="00E579F1">
            <w:pPr>
              <w:pStyle w:val="Nagwek7"/>
              <w:spacing w:line="240" w:lineRule="auto"/>
              <w:ind w:left="142"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Stosownie do przepisu art. 4 ust. 4 ustawy o rachunkowości jednostka stosuje następujące uproszczenia: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zakupione składniki majątkowe trwałego użytku o przewidywanym okresie używania dłuższym niż rok i wartości początkowej poniżej 2.500 </w:t>
            </w:r>
            <w:r w:rsidR="00E579F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zł</w:t>
            </w:r>
            <w:r w:rsidR="0075084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79F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są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zarachowywane </w:t>
            </w:r>
            <w:r w:rsidR="001A2C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 koszty i objęte ewidencją ilościową;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naliczenia umorzenia składników majątkowych trwałego użytku o wartości poniżej 10.000 zł. ujmowanych na koncie 013 dokonuje się w miesiącu oddania do używ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nia w 100 % ich wartości początkowej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środki trwałe o wartości powyżej 10.000 zł. są amortyzowane i umarzane na po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stawie miesięcznych odpisów przy zastosowaniu stawek umorzeniowych określ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nych w</w:t>
            </w:r>
            <w:r w:rsidR="00E579F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przepisach podatkowych; 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naliczone amortyzacja i umorzenie nie powodują zmian w funduszu jednostki.</w:t>
            </w:r>
          </w:p>
          <w:p w:rsidR="00705809" w:rsidRPr="00705809" w:rsidRDefault="00705809" w:rsidP="00705809">
            <w:pPr>
              <w:rPr>
                <w:lang w:eastAsia="pl-PL" w:bidi="ar-SA"/>
              </w:rPr>
            </w:pPr>
          </w:p>
        </w:tc>
      </w:tr>
      <w:tr w:rsidR="00044C0C" w:rsidRPr="00E579F1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6D5101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D0171A" w:rsidP="00611EBF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zczegółowy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zakres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zmian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wartości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grup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rodzajowych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środków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trwałych,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wartości</w:t>
            </w:r>
            <w:r w:rsidR="006D510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nabycia,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lastRenderedPageBreak/>
              <w:t>rozchodu,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przemieszczenia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wewnętrznego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stan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końcowy,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dla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majątku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amortyzowanego</w:t>
            </w:r>
            <w:r w:rsidR="000E714E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– podobne przedstawienie stanów i tytułów zmian dotychczasowej amortyzacji lub umorzenia</w:t>
            </w:r>
          </w:p>
        </w:tc>
      </w:tr>
      <w:tr w:rsidR="00044C0C" w:rsidTr="00567987">
        <w:trPr>
          <w:trHeight w:val="367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88"/>
              <w:gridCol w:w="1559"/>
              <w:gridCol w:w="1362"/>
              <w:gridCol w:w="1559"/>
              <w:gridCol w:w="1418"/>
            </w:tblGrid>
            <w:tr w:rsidR="005D2E54" w:rsidRPr="005D2E54" w:rsidTr="00AB41D0">
              <w:trPr>
                <w:trHeight w:val="216"/>
                <w:jc w:val="center"/>
              </w:trPr>
              <w:tc>
                <w:tcPr>
                  <w:tcW w:w="28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Wyszczególnienie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Stan na początek roku</w:t>
                  </w:r>
                </w:p>
              </w:tc>
              <w:tc>
                <w:tcPr>
                  <w:tcW w:w="29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Zmiany w trakcie roku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33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Stan na koniec roku</w:t>
                  </w:r>
                </w:p>
              </w:tc>
            </w:tr>
            <w:tr w:rsidR="005D2E54" w:rsidRPr="005D2E54" w:rsidTr="00AB41D0">
              <w:trPr>
                <w:trHeight w:val="173"/>
                <w:jc w:val="center"/>
              </w:trPr>
              <w:tc>
                <w:tcPr>
                  <w:tcW w:w="288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40" w:right="4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Zwiększenia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Zmniejszenia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D2E54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C4FD2" w:rsidP="00E579F1">
                  <w:pPr>
                    <w:pStyle w:val="TableContents"/>
                    <w:ind w:left="142" w:right="142"/>
                    <w:jc w:val="both"/>
                    <w:rPr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6"/>
                    </w:rPr>
                    <w:t>Grupa 1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5D2E54" w:rsidRPr="005D2E54" w:rsidTr="0089350D">
              <w:trPr>
                <w:trHeight w:val="203"/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EE6B39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540.756,94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75084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  <w:highlight w:val="yellow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62B52" w:rsidRPr="005D2E54" w:rsidRDefault="00750840" w:rsidP="00246B5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276C28" w:rsidP="00C64F2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 xml:space="preserve"> </w:t>
                  </w:r>
                  <w:r w:rsidR="00162B52" w:rsidRPr="005D2E54">
                    <w:rPr>
                      <w:rFonts w:ascii="Arial" w:hAnsi="Arial"/>
                      <w:sz w:val="18"/>
                      <w:szCs w:val="16"/>
                    </w:rPr>
                    <w:t>5</w:t>
                  </w:r>
                  <w:r w:rsidR="00C64F2F" w:rsidRPr="005D2E54">
                    <w:rPr>
                      <w:rFonts w:ascii="Arial" w:hAnsi="Arial"/>
                      <w:sz w:val="18"/>
                      <w:szCs w:val="16"/>
                    </w:rPr>
                    <w:t>40.756,94</w:t>
                  </w:r>
                </w:p>
              </w:tc>
            </w:tr>
            <w:tr w:rsidR="005D2E54" w:rsidRPr="005D2E54" w:rsidTr="0089350D">
              <w:trPr>
                <w:trHeight w:val="179"/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B39" w:rsidRPr="005D2E54" w:rsidRDefault="00276C28" w:rsidP="00EE6B3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67.594,76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9A38F7" w:rsidP="00750840">
                  <w:pPr>
                    <w:pStyle w:val="TableContents"/>
                    <w:tabs>
                      <w:tab w:val="right" w:pos="1110"/>
                    </w:tabs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13.518,9</w:t>
                  </w:r>
                  <w:r w:rsidR="001A2D22" w:rsidRPr="005D2E54">
                    <w:rPr>
                      <w:rFonts w:ascii="Arial" w:hAnsi="Arial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75084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76C28" w:rsidRPr="005D2E54" w:rsidRDefault="00276C28" w:rsidP="00BA005F">
                  <w:pPr>
                    <w:pStyle w:val="TableContents"/>
                    <w:ind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 xml:space="preserve">      81</w:t>
                  </w:r>
                  <w:r w:rsidR="00BA005F" w:rsidRPr="005D2E54">
                    <w:rPr>
                      <w:rFonts w:ascii="Arial" w:hAnsi="Arial"/>
                      <w:sz w:val="18"/>
                      <w:szCs w:val="16"/>
                    </w:rPr>
                    <w:t>.</w:t>
                  </w: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113,68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005F" w:rsidRPr="005D2E54" w:rsidRDefault="001A2D22" w:rsidP="00BA005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4</w:t>
                  </w:r>
                  <w:r w:rsidR="00BA005F" w:rsidRPr="005D2E54">
                    <w:rPr>
                      <w:rFonts w:ascii="Arial" w:hAnsi="Arial"/>
                      <w:sz w:val="18"/>
                      <w:szCs w:val="16"/>
                    </w:rPr>
                    <w:t>73.162,18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E120E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-13.518,92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75084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005F" w:rsidRPr="005D2E54" w:rsidRDefault="00E334BB" w:rsidP="00BA005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4</w:t>
                  </w:r>
                  <w:r w:rsidR="00BA005F" w:rsidRPr="005D2E54">
                    <w:rPr>
                      <w:rFonts w:ascii="Arial" w:hAnsi="Arial"/>
                      <w:sz w:val="18"/>
                      <w:szCs w:val="16"/>
                    </w:rPr>
                    <w:t>59.643,26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607F45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6"/>
                    </w:rPr>
                    <w:t>Grupa 4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831AAD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66.696,92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75084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2E1A10" w:rsidP="0075084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15.420,91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E1A10" w:rsidRPr="005D2E54" w:rsidRDefault="002E1A10" w:rsidP="002E1A1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51</w:t>
                  </w:r>
                  <w:r w:rsidR="00AF04E2" w:rsidRPr="005D2E54">
                    <w:rPr>
                      <w:rFonts w:ascii="Arial" w:hAnsi="Arial"/>
                      <w:sz w:val="18"/>
                      <w:szCs w:val="16"/>
                    </w:rPr>
                    <w:t>.</w:t>
                  </w: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276,01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831AAD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66.696,92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750840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AF04E2" w:rsidP="0075084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15.420,91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D2E54" w:rsidRDefault="00AF04E2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51.276,01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6F665F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750840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750840" w:rsidP="0075084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E398D" w:rsidRPr="005D2E54" w:rsidRDefault="00EA2640" w:rsidP="006E398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607F45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6"/>
                    </w:rPr>
                    <w:t>Grupa 6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607F45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AF04E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139.651,00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6B4336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750840" w:rsidP="00DC3F0A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E00BC6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139.651,00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607F45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AF04E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74.235,70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005D20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13.543,20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750840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AF04E2" w:rsidP="00005D2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8</w:t>
                  </w:r>
                  <w:r w:rsidR="00005D20" w:rsidRPr="005D2E54">
                    <w:rPr>
                      <w:rFonts w:ascii="Arial" w:hAnsi="Arial"/>
                      <w:sz w:val="18"/>
                      <w:szCs w:val="16"/>
                    </w:rPr>
                    <w:t>7.778,90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607F45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AF04E2" w:rsidP="00AF04E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65.415,30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120E0" w:rsidRPr="005D2E54" w:rsidRDefault="00E120E0" w:rsidP="00E120E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-13.543,20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750840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05D20" w:rsidRPr="005D2E54" w:rsidRDefault="00E00BC6" w:rsidP="00005D2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5</w:t>
                  </w:r>
                  <w:r w:rsidR="00005D20" w:rsidRPr="005D2E54">
                    <w:rPr>
                      <w:rFonts w:ascii="Arial" w:hAnsi="Arial"/>
                      <w:sz w:val="18"/>
                      <w:szCs w:val="16"/>
                    </w:rPr>
                    <w:t>1.872,10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607F45" w:rsidP="001C4FD2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6"/>
                    </w:rPr>
                    <w:t>Grupa 8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C4FD2" w:rsidRPr="005D2E54" w:rsidRDefault="001C4FD2" w:rsidP="001C4FD2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607F45" w:rsidP="00607F45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9D2B4D" w:rsidP="00607F4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</w:t>
                  </w:r>
                  <w:r w:rsidR="00125C59" w:rsidRPr="005D2E54">
                    <w:rPr>
                      <w:rFonts w:ascii="Arial" w:hAnsi="Arial"/>
                      <w:sz w:val="18"/>
                      <w:szCs w:val="16"/>
                    </w:rPr>
                    <w:t>84.287,64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750840" w:rsidP="0075084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0BC6" w:rsidRPr="005D2E54" w:rsidRDefault="00E00BC6" w:rsidP="0090382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69.083,7</w:t>
                  </w:r>
                  <w:r w:rsidR="0090382D" w:rsidRPr="005D2E54">
                    <w:rPr>
                      <w:rFonts w:ascii="Arial" w:hAnsi="Arial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0BC6" w:rsidRPr="005D2E54" w:rsidRDefault="00E00BC6" w:rsidP="0090382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615.203,9</w:t>
                  </w:r>
                  <w:r w:rsidR="0090382D" w:rsidRPr="005D2E54">
                    <w:rPr>
                      <w:rFonts w:ascii="Arial" w:hAnsi="Arial"/>
                      <w:sz w:val="18"/>
                      <w:szCs w:val="16"/>
                    </w:rPr>
                    <w:t>2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607F45" w:rsidP="00607F45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E00BC6" w:rsidP="009D2B4D">
                  <w:pPr>
                    <w:pStyle w:val="TableContents"/>
                    <w:ind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684.287,64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005D20" w:rsidP="00750840">
                  <w:pPr>
                    <w:pStyle w:val="TableContents"/>
                    <w:ind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005D20" w:rsidP="0075084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69.083,72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E00BC6" w:rsidP="0090382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6</w:t>
                  </w:r>
                  <w:r w:rsidR="0090382D" w:rsidRPr="005D2E54">
                    <w:rPr>
                      <w:rFonts w:ascii="Arial" w:hAnsi="Arial"/>
                      <w:sz w:val="18"/>
                      <w:szCs w:val="16"/>
                    </w:rPr>
                    <w:t>15.203,92</w:t>
                  </w:r>
                </w:p>
              </w:tc>
            </w:tr>
            <w:tr w:rsidR="005D2E54" w:rsidRPr="005D2E54" w:rsidTr="00AB41D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607F45" w:rsidP="00607F45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E00BC6" w:rsidP="00607F4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</w:t>
                  </w:r>
                  <w:r w:rsidR="006B4336" w:rsidRPr="005D2E54">
                    <w:rPr>
                      <w:rFonts w:ascii="Arial" w:hAnsi="Arial"/>
                      <w:sz w:val="18"/>
                      <w:szCs w:val="16"/>
                    </w:rPr>
                    <w:t>,00</w:t>
                  </w:r>
                </w:p>
              </w:tc>
              <w:tc>
                <w:tcPr>
                  <w:tcW w:w="136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750840" w:rsidP="00607F4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750840" w:rsidP="00607F4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07F45" w:rsidRPr="005D2E54" w:rsidRDefault="007152F8" w:rsidP="00607F45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0</w:t>
                  </w:r>
                  <w:r w:rsidR="00750840" w:rsidRPr="005D2E54">
                    <w:rPr>
                      <w:rFonts w:ascii="Arial" w:hAnsi="Arial"/>
                      <w:sz w:val="18"/>
                      <w:szCs w:val="16"/>
                    </w:rPr>
                    <w:t>,00</w:t>
                  </w:r>
                </w:p>
              </w:tc>
            </w:tr>
          </w:tbl>
          <w:p w:rsidR="00044C0C" w:rsidRPr="005D2E54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41D0" w:rsidRPr="005D2E54" w:rsidRDefault="00AB41D0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41D0" w:rsidRPr="005D2E54" w:rsidRDefault="00AB41D0" w:rsidP="00AB41D0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900" w:type="dxa"/>
              <w:tblInd w:w="142" w:type="dxa"/>
              <w:tblLayout w:type="fixed"/>
              <w:tblLook w:val="04A0"/>
            </w:tblPr>
            <w:tblGrid>
              <w:gridCol w:w="2878"/>
              <w:gridCol w:w="1511"/>
              <w:gridCol w:w="1372"/>
              <w:gridCol w:w="1605"/>
              <w:gridCol w:w="1534"/>
            </w:tblGrid>
            <w:tr w:rsidR="005D2E54" w:rsidRPr="005D2E54" w:rsidTr="00AB41D0">
              <w:trPr>
                <w:trHeight w:val="450"/>
              </w:trPr>
              <w:tc>
                <w:tcPr>
                  <w:tcW w:w="2878" w:type="dxa"/>
                  <w:vMerge w:val="restart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Wyszczególnienie</w:t>
                  </w:r>
                </w:p>
              </w:tc>
              <w:tc>
                <w:tcPr>
                  <w:tcW w:w="1511" w:type="dxa"/>
                  <w:vMerge w:val="restart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Stan na początek roku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Zmiany w trakcie roku</w:t>
                  </w:r>
                </w:p>
              </w:tc>
              <w:tc>
                <w:tcPr>
                  <w:tcW w:w="1534" w:type="dxa"/>
                  <w:vMerge w:val="restart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Stan na koniec roku</w:t>
                  </w:r>
                </w:p>
              </w:tc>
            </w:tr>
            <w:tr w:rsidR="005D2E54" w:rsidRPr="005D2E54" w:rsidTr="00AB41D0">
              <w:trPr>
                <w:trHeight w:val="359"/>
              </w:trPr>
              <w:tc>
                <w:tcPr>
                  <w:tcW w:w="2878" w:type="dxa"/>
                  <w:vMerge/>
                  <w:shd w:val="clear" w:color="auto" w:fill="E7E6E6" w:themeFill="background2"/>
                </w:tcPr>
                <w:p w:rsidR="00AB41D0" w:rsidRPr="005D2E54" w:rsidRDefault="00AB41D0" w:rsidP="00E579F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1" w:type="dxa"/>
                  <w:vMerge/>
                  <w:shd w:val="clear" w:color="auto" w:fill="E7E6E6" w:themeFill="background2"/>
                </w:tcPr>
                <w:p w:rsidR="00AB41D0" w:rsidRPr="005D2E54" w:rsidRDefault="00AB41D0" w:rsidP="00E579F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Zwiększenia</w:t>
                  </w:r>
                </w:p>
              </w:tc>
              <w:tc>
                <w:tcPr>
                  <w:tcW w:w="1605" w:type="dxa"/>
                  <w:shd w:val="clear" w:color="auto" w:fill="E7E6E6" w:themeFill="background2"/>
                  <w:vAlign w:val="center"/>
                </w:tcPr>
                <w:p w:rsidR="00AB41D0" w:rsidRPr="005D2E54" w:rsidRDefault="00AB41D0" w:rsidP="00AB41D0">
                  <w:pPr>
                    <w:pStyle w:val="Standard"/>
                    <w:widowControl w:val="0"/>
                    <w:ind w:right="14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2E54">
                    <w:rPr>
                      <w:rFonts w:ascii="Arial" w:hAnsi="Arial"/>
                      <w:sz w:val="18"/>
                      <w:szCs w:val="16"/>
                    </w:rPr>
                    <w:t>Zmniejszenia</w:t>
                  </w:r>
                </w:p>
              </w:tc>
              <w:tc>
                <w:tcPr>
                  <w:tcW w:w="1534" w:type="dxa"/>
                  <w:vMerge/>
                  <w:shd w:val="clear" w:color="auto" w:fill="E7E6E6" w:themeFill="background2"/>
                </w:tcPr>
                <w:p w:rsidR="00AB41D0" w:rsidRPr="005D2E54" w:rsidRDefault="00AB41D0" w:rsidP="00E579F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2E54" w:rsidRPr="005D2E54" w:rsidTr="0089350D">
              <w:trPr>
                <w:trHeight w:val="562"/>
              </w:trPr>
              <w:tc>
                <w:tcPr>
                  <w:tcW w:w="2878" w:type="dxa"/>
                  <w:vAlign w:val="center"/>
                </w:tcPr>
                <w:p w:rsidR="00822276" w:rsidRPr="005D2E54" w:rsidRDefault="00822276" w:rsidP="008E22A5">
                  <w:pPr>
                    <w:pStyle w:val="Standard"/>
                    <w:widowControl w:val="0"/>
                    <w:ind w:right="1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Wartości niematerialne </w:t>
                  </w:r>
                  <w:r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 xml:space="preserve">i prawne 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E54" w:rsidRPr="005D2E54" w:rsidTr="0089350D">
              <w:trPr>
                <w:trHeight w:val="286"/>
              </w:trPr>
              <w:tc>
                <w:tcPr>
                  <w:tcW w:w="2878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Wartość początkowa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E00BC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55.286,31</w:t>
                  </w:r>
                </w:p>
              </w:tc>
              <w:tc>
                <w:tcPr>
                  <w:tcW w:w="1372" w:type="dxa"/>
                  <w:vAlign w:val="center"/>
                </w:tcPr>
                <w:p w:rsidR="00822276" w:rsidRPr="005D2E54" w:rsidRDefault="006B433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822276" w:rsidRPr="005D2E54" w:rsidRDefault="00750840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9E26D7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D27C1E" w:rsidRPr="005D2E54">
                    <w:rPr>
                      <w:rFonts w:ascii="Arial" w:hAnsi="Arial" w:cs="Arial"/>
                      <w:sz w:val="18"/>
                      <w:szCs w:val="18"/>
                    </w:rPr>
                    <w:t>5.286,31</w:t>
                  </w:r>
                </w:p>
              </w:tc>
            </w:tr>
            <w:tr w:rsidR="005D2E54" w:rsidRPr="005D2E54" w:rsidTr="0089350D">
              <w:trPr>
                <w:trHeight w:val="262"/>
              </w:trPr>
              <w:tc>
                <w:tcPr>
                  <w:tcW w:w="2878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Dotychczasowe umorzenie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E00BC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55.286,31</w:t>
                  </w:r>
                </w:p>
              </w:tc>
              <w:tc>
                <w:tcPr>
                  <w:tcW w:w="1372" w:type="dxa"/>
                  <w:vAlign w:val="center"/>
                </w:tcPr>
                <w:p w:rsidR="00822276" w:rsidRPr="005D2E54" w:rsidRDefault="006B433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822276" w:rsidRPr="005D2E54" w:rsidRDefault="00750840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D27C1E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55.286,31</w:t>
                  </w:r>
                </w:p>
              </w:tc>
            </w:tr>
            <w:tr w:rsidR="005D2E54" w:rsidRPr="005D2E54" w:rsidTr="0089350D">
              <w:trPr>
                <w:trHeight w:val="280"/>
              </w:trPr>
              <w:tc>
                <w:tcPr>
                  <w:tcW w:w="2878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 xml:space="preserve">Wartość netto 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750840" w:rsidRPr="005D2E54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372" w:type="dxa"/>
                  <w:vAlign w:val="center"/>
                </w:tcPr>
                <w:p w:rsidR="00822276" w:rsidRPr="005D2E54" w:rsidRDefault="00750840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822276" w:rsidRPr="005D2E54" w:rsidRDefault="00750840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750840" w:rsidRPr="005D2E54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  <w:tr w:rsidR="005D2E54" w:rsidRPr="005D2E54" w:rsidTr="0089350D">
              <w:trPr>
                <w:trHeight w:val="687"/>
              </w:trPr>
              <w:tc>
                <w:tcPr>
                  <w:tcW w:w="2878" w:type="dxa"/>
                  <w:vAlign w:val="center"/>
                </w:tcPr>
                <w:p w:rsidR="00822276" w:rsidRPr="005D2E54" w:rsidRDefault="009336A1" w:rsidP="008E22A5">
                  <w:pPr>
                    <w:pStyle w:val="Standard"/>
                    <w:widowControl w:val="0"/>
                    <w:ind w:right="1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>M</w:t>
                  </w:r>
                  <w:r w:rsidR="008E22A5"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>ateriały</w:t>
                  </w:r>
                  <w:r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(ilościowo-wartościowe)</w:t>
                  </w:r>
                  <w:r w:rsidR="008E22A5"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, eksponaty </w:t>
                  </w:r>
                  <w:r w:rsidR="008E22A5"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>i zabytki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E54" w:rsidRPr="005D2E54" w:rsidTr="0089350D">
              <w:trPr>
                <w:trHeight w:val="280"/>
              </w:trPr>
              <w:tc>
                <w:tcPr>
                  <w:tcW w:w="2878" w:type="dxa"/>
                  <w:vAlign w:val="center"/>
                </w:tcPr>
                <w:p w:rsidR="00822276" w:rsidRPr="005D2E54" w:rsidRDefault="00822276" w:rsidP="00822276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Wartość początkowa</w:t>
                  </w:r>
                </w:p>
              </w:tc>
              <w:tc>
                <w:tcPr>
                  <w:tcW w:w="1511" w:type="dxa"/>
                  <w:vAlign w:val="center"/>
                </w:tcPr>
                <w:p w:rsidR="00822276" w:rsidRPr="005D2E54" w:rsidRDefault="006B4336" w:rsidP="00B81309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B81309" w:rsidRPr="005D2E54">
                    <w:rPr>
                      <w:rFonts w:ascii="Arial" w:hAnsi="Arial" w:cs="Arial"/>
                      <w:sz w:val="18"/>
                      <w:szCs w:val="18"/>
                    </w:rPr>
                    <w:t>.290.958,77</w:t>
                  </w:r>
                </w:p>
              </w:tc>
              <w:tc>
                <w:tcPr>
                  <w:tcW w:w="1372" w:type="dxa"/>
                  <w:vAlign w:val="center"/>
                </w:tcPr>
                <w:p w:rsidR="006B4336" w:rsidRPr="005D2E54" w:rsidRDefault="001A55A3" w:rsidP="00B81309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  <w:r w:rsidR="00B81309" w:rsidRPr="005D2E54">
                    <w:rPr>
                      <w:rFonts w:ascii="Arial" w:hAnsi="Arial" w:cs="Arial"/>
                      <w:sz w:val="18"/>
                      <w:szCs w:val="18"/>
                    </w:rPr>
                    <w:t>9.388,07</w:t>
                  </w:r>
                </w:p>
              </w:tc>
              <w:tc>
                <w:tcPr>
                  <w:tcW w:w="1605" w:type="dxa"/>
                  <w:vAlign w:val="center"/>
                </w:tcPr>
                <w:p w:rsidR="001A55A3" w:rsidRPr="005D2E54" w:rsidRDefault="00B81309" w:rsidP="001A55A3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7.001,07</w:t>
                  </w:r>
                </w:p>
              </w:tc>
              <w:tc>
                <w:tcPr>
                  <w:tcW w:w="1534" w:type="dxa"/>
                  <w:vAlign w:val="center"/>
                </w:tcPr>
                <w:p w:rsidR="00822276" w:rsidRPr="005D2E54" w:rsidRDefault="006C6C94" w:rsidP="00554EDE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="00554EDE" w:rsidRPr="005D2E54">
                    <w:rPr>
                      <w:rFonts w:ascii="Arial" w:hAnsi="Arial" w:cs="Arial"/>
                      <w:sz w:val="18"/>
                      <w:szCs w:val="18"/>
                    </w:rPr>
                    <w:t>433.345,77</w:t>
                  </w:r>
                </w:p>
              </w:tc>
            </w:tr>
            <w:tr w:rsidR="005D2E54" w:rsidRPr="005D2E54" w:rsidTr="00D87124">
              <w:trPr>
                <w:trHeight w:val="284"/>
              </w:trPr>
              <w:tc>
                <w:tcPr>
                  <w:tcW w:w="2878" w:type="dxa"/>
                  <w:vAlign w:val="center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Dotychczasowe umorzenie</w:t>
                  </w:r>
                </w:p>
              </w:tc>
              <w:tc>
                <w:tcPr>
                  <w:tcW w:w="1511" w:type="dxa"/>
                  <w:vAlign w:val="center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72" w:type="dxa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5D2E54" w:rsidRPr="005D2E54" w:rsidTr="00D87124">
              <w:trPr>
                <w:trHeight w:val="261"/>
              </w:trPr>
              <w:tc>
                <w:tcPr>
                  <w:tcW w:w="2878" w:type="dxa"/>
                  <w:vAlign w:val="center"/>
                </w:tcPr>
                <w:p w:rsidR="00750840" w:rsidRPr="005D2E54" w:rsidRDefault="00750840" w:rsidP="00750840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 xml:space="preserve">Wartość netto </w:t>
                  </w:r>
                </w:p>
              </w:tc>
              <w:tc>
                <w:tcPr>
                  <w:tcW w:w="1511" w:type="dxa"/>
                  <w:vAlign w:val="center"/>
                </w:tcPr>
                <w:p w:rsidR="00750840" w:rsidRPr="005D2E54" w:rsidRDefault="00554EDE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1.290.958,77</w:t>
                  </w:r>
                </w:p>
              </w:tc>
              <w:tc>
                <w:tcPr>
                  <w:tcW w:w="1372" w:type="dxa"/>
                </w:tcPr>
                <w:p w:rsidR="00750840" w:rsidRPr="005D2E54" w:rsidRDefault="00F876D6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149.388,07</w:t>
                  </w:r>
                </w:p>
              </w:tc>
              <w:tc>
                <w:tcPr>
                  <w:tcW w:w="1605" w:type="dxa"/>
                </w:tcPr>
                <w:p w:rsidR="00750840" w:rsidRPr="005D2E54" w:rsidRDefault="00F876D6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7.001,07</w:t>
                  </w:r>
                </w:p>
              </w:tc>
              <w:tc>
                <w:tcPr>
                  <w:tcW w:w="1534" w:type="dxa"/>
                  <w:vAlign w:val="center"/>
                </w:tcPr>
                <w:p w:rsidR="00750840" w:rsidRPr="005D2E54" w:rsidRDefault="00554EDE" w:rsidP="00750840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1.433.345,77</w:t>
                  </w:r>
                </w:p>
              </w:tc>
            </w:tr>
            <w:tr w:rsidR="005D2E54" w:rsidRPr="005D2E54" w:rsidTr="00D87124">
              <w:trPr>
                <w:trHeight w:val="687"/>
              </w:trPr>
              <w:tc>
                <w:tcPr>
                  <w:tcW w:w="2878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b/>
                      <w:sz w:val="18"/>
                      <w:szCs w:val="18"/>
                    </w:rPr>
                    <w:t>Zbiory, materiały biblioteczne</w:t>
                  </w:r>
                </w:p>
              </w:tc>
              <w:tc>
                <w:tcPr>
                  <w:tcW w:w="1511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E54" w:rsidRPr="005D2E54" w:rsidTr="00D87124">
              <w:trPr>
                <w:trHeight w:val="280"/>
              </w:trPr>
              <w:tc>
                <w:tcPr>
                  <w:tcW w:w="2878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Wartość początkowa</w:t>
                  </w:r>
                </w:p>
              </w:tc>
              <w:tc>
                <w:tcPr>
                  <w:tcW w:w="1511" w:type="dxa"/>
                  <w:vAlign w:val="center"/>
                </w:tcPr>
                <w:p w:rsidR="009336A1" w:rsidRPr="005D2E54" w:rsidRDefault="006B5D76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30.149,35</w:t>
                  </w:r>
                </w:p>
              </w:tc>
              <w:tc>
                <w:tcPr>
                  <w:tcW w:w="1372" w:type="dxa"/>
                  <w:vAlign w:val="center"/>
                </w:tcPr>
                <w:p w:rsidR="009336A1" w:rsidRPr="005D2E54" w:rsidRDefault="006B5D76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9336A1" w:rsidRPr="005D2E54" w:rsidRDefault="00750840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9336A1" w:rsidRPr="005D2E54" w:rsidRDefault="00B11FE4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30.149,35</w:t>
                  </w:r>
                </w:p>
              </w:tc>
            </w:tr>
            <w:tr w:rsidR="005D2E54" w:rsidRPr="005D2E54" w:rsidTr="00D87124">
              <w:trPr>
                <w:trHeight w:val="284"/>
              </w:trPr>
              <w:tc>
                <w:tcPr>
                  <w:tcW w:w="2878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>Dotychczasowe umorzenie</w:t>
                  </w:r>
                </w:p>
              </w:tc>
              <w:tc>
                <w:tcPr>
                  <w:tcW w:w="1511" w:type="dxa"/>
                  <w:vAlign w:val="center"/>
                </w:tcPr>
                <w:p w:rsidR="009336A1" w:rsidRPr="005D2E54" w:rsidRDefault="006B5D76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30.149,35</w:t>
                  </w:r>
                </w:p>
              </w:tc>
              <w:tc>
                <w:tcPr>
                  <w:tcW w:w="1372" w:type="dxa"/>
                  <w:vAlign w:val="center"/>
                </w:tcPr>
                <w:p w:rsidR="009336A1" w:rsidRPr="005D2E54" w:rsidRDefault="006B5D76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9336A1" w:rsidRPr="005D2E54" w:rsidRDefault="00750840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9336A1" w:rsidRPr="005D2E54" w:rsidRDefault="00B11FE4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30.149,35</w:t>
                  </w:r>
                </w:p>
              </w:tc>
            </w:tr>
            <w:tr w:rsidR="005D2E54" w:rsidRPr="005D2E54" w:rsidTr="00D87124">
              <w:trPr>
                <w:trHeight w:val="261"/>
              </w:trPr>
              <w:tc>
                <w:tcPr>
                  <w:tcW w:w="2878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/>
                      <w:sz w:val="18"/>
                      <w:szCs w:val="18"/>
                    </w:rPr>
                    <w:t xml:space="preserve">Wartość netto </w:t>
                  </w:r>
                </w:p>
              </w:tc>
              <w:tc>
                <w:tcPr>
                  <w:tcW w:w="1511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750840" w:rsidRPr="005D2E54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372" w:type="dxa"/>
                  <w:vAlign w:val="center"/>
                </w:tcPr>
                <w:p w:rsidR="009336A1" w:rsidRPr="005D2E54" w:rsidRDefault="00750840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605" w:type="dxa"/>
                  <w:vAlign w:val="center"/>
                </w:tcPr>
                <w:p w:rsidR="009336A1" w:rsidRPr="005D2E54" w:rsidRDefault="00750840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34" w:type="dxa"/>
                  <w:vAlign w:val="center"/>
                </w:tcPr>
                <w:p w:rsidR="009336A1" w:rsidRPr="005D2E54" w:rsidRDefault="009336A1" w:rsidP="009336A1">
                  <w:pPr>
                    <w:pStyle w:val="Standard"/>
                    <w:widowControl w:val="0"/>
                    <w:ind w:right="14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750840" w:rsidRPr="005D2E54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AB41D0" w:rsidRPr="005D2E54" w:rsidRDefault="00AB41D0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350D" w:rsidRPr="005D2E54" w:rsidRDefault="0089350D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213E25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ktualną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rynkową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środków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trwałych,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tym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dóbr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kultury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jednostka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dysponuje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takimi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informacjami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AF1C1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wotę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dokonanych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trakcie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obrotowego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odpisów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aktualizujących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aktywów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trwałych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odrębnie</w:t>
            </w:r>
            <w:r w:rsidR="00540AC1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wartość gruntów użytkowanych wieczyście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611EBF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>
              <w:br w:type="page"/>
            </w:r>
            <w:r w:rsidR="00155AE2"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D665B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artość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amortyzowanych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lub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nieumarzanych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przez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jednostkę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środków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trwałych,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używanych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3F77D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4C1D85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iczbę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posiadanych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papierów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wartościowych,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tym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 xml:space="preserve"> akcji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udziałów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dłużnych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papierów wartościowych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4649AC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55C13" w:rsidRPr="005D2E54">
              <w:rPr>
                <w:rFonts w:ascii="Arial" w:hAnsi="Arial" w:cs="Arial"/>
                <w:b/>
                <w:sz w:val="22"/>
                <w:szCs w:val="22"/>
              </w:rPr>
              <w:t>ane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odpisach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aktualizujących wartość należności, ze wskazaniem stanu na początek roku</w:t>
            </w:r>
            <w:r w:rsidR="002E1A10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1.8.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4C1D85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ane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stanie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rezerw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według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celu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ich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utworzenia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obrotowego,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zwiększeniach,</w:t>
            </w:r>
            <w:r w:rsidR="00CA0E1B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wykorzystaniu, rozwiązaniu i stanie końcowym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D07D26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W jednostce występują tylko zobowiązania krótkoterminowe w tym:</w:t>
            </w:r>
          </w:p>
        </w:tc>
      </w:tr>
      <w:tr w:rsidR="00044C0C" w:rsidTr="00567987">
        <w:trPr>
          <w:trHeight w:val="174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4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91"/>
              <w:gridCol w:w="1644"/>
            </w:tblGrid>
            <w:tr w:rsidR="005D2E54" w:rsidRPr="005D2E54" w:rsidTr="00611EBF">
              <w:trPr>
                <w:jc w:val="center"/>
              </w:trPr>
              <w:tc>
                <w:tcPr>
                  <w:tcW w:w="4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Z tytułu dostaw i usług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3704F6" w:rsidRDefault="00AB75F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 w:rsidRPr="003704F6">
                    <w:rPr>
                      <w:rFonts w:ascii="Arial" w:hAnsi="Arial"/>
                      <w:sz w:val="18"/>
                      <w:szCs w:val="22"/>
                    </w:rPr>
                    <w:t>12.5</w:t>
                  </w:r>
                  <w:r w:rsidR="004F61EC" w:rsidRPr="003704F6">
                    <w:rPr>
                      <w:rFonts w:ascii="Arial" w:hAnsi="Arial"/>
                      <w:sz w:val="18"/>
                      <w:szCs w:val="22"/>
                    </w:rPr>
                    <w:t>83,49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Z tytułu podatków i ubezpieczeń społecznych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3704F6" w:rsidRDefault="00AB75F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 w:rsidRPr="003704F6">
                    <w:rPr>
                      <w:rFonts w:ascii="Arial" w:hAnsi="Arial"/>
                      <w:sz w:val="18"/>
                      <w:szCs w:val="22"/>
                    </w:rPr>
                    <w:t>81</w:t>
                  </w:r>
                  <w:r w:rsidR="003E5BDF" w:rsidRPr="003704F6">
                    <w:rPr>
                      <w:rFonts w:ascii="Arial" w:hAnsi="Arial"/>
                      <w:sz w:val="18"/>
                      <w:szCs w:val="22"/>
                    </w:rPr>
                    <w:t>6,55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8F5B2D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Z tytułu innych zobowiązań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AB75FB" w:rsidP="008F5B2D">
                  <w:pPr>
                    <w:pStyle w:val="TableContents"/>
                    <w:tabs>
                      <w:tab w:val="center" w:pos="767"/>
                      <w:tab w:val="right" w:pos="1392"/>
                    </w:tabs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112,70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Z tytułu rozliczenia dotacji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AB75F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 w:rsidRPr="005D2E54">
                    <w:rPr>
                      <w:rFonts w:ascii="Arial" w:hAnsi="Arial"/>
                      <w:sz w:val="18"/>
                      <w:szCs w:val="22"/>
                    </w:rPr>
                    <w:t>26.963,10</w:t>
                  </w:r>
                </w:p>
              </w:tc>
            </w:tr>
          </w:tbl>
          <w:p w:rsidR="00044C0C" w:rsidRPr="005D2E54" w:rsidRDefault="00044C0C" w:rsidP="00E579F1">
            <w:pPr>
              <w:pStyle w:val="Standard"/>
              <w:widowControl w:val="0"/>
              <w:ind w:left="142" w:right="142"/>
              <w:jc w:val="both"/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1.10.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4B7BED" w:rsidP="004B7BED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wotę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zobowiązań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0651" w:rsidRPr="005D2E54">
              <w:rPr>
                <w:rFonts w:ascii="Arial" w:hAnsi="Arial" w:cs="Arial"/>
                <w:b/>
                <w:sz w:val="22"/>
                <w:szCs w:val="22"/>
              </w:rPr>
              <w:t>sytuacji,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gdy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jednostka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kwalifikuje umowy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leasingu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zgodnie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8D42B6" w:rsidRPr="005D2E5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przepisami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podatkowymi leasing</w:t>
            </w:r>
            <w:r w:rsidR="006314B5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operacyjny),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według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przepisów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rachunkowości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byłby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leasing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finansowy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lub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zwrotny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637D87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Ł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ączną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kwotę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zobowiązań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zabezpieczonych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majątku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jednostki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ze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wskazaniem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charakteru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formy</w:t>
            </w:r>
            <w:r w:rsidR="00374B2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AE2" w:rsidRPr="005D2E54">
              <w:rPr>
                <w:rFonts w:ascii="Arial" w:hAnsi="Arial" w:cs="Arial"/>
                <w:b/>
                <w:sz w:val="22"/>
                <w:szCs w:val="22"/>
              </w:rPr>
              <w:t>tych zabezpieczeń</w:t>
            </w:r>
          </w:p>
        </w:tc>
      </w:tr>
      <w:tr w:rsidR="00D07D26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Default="00D07D26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Pr="005D2E54" w:rsidRDefault="00D07D2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="001A55A3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</w:t>
            </w:r>
            <w:r w:rsidR="00B37EC9" w:rsidRPr="005D2E5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 xml:space="preserve"> a zobowiązaniem zapłaty za nie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4F8" w:rsidRPr="00323317" w:rsidRDefault="00323317" w:rsidP="00454D00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Krótkoterminowe </w:t>
            </w:r>
            <w:r w:rsidR="00FD3AF9" w:rsidRPr="00454AE7">
              <w:rPr>
                <w:rFonts w:ascii="Arial" w:hAnsi="Arial"/>
                <w:sz w:val="22"/>
                <w:szCs w:val="22"/>
              </w:rPr>
              <w:t>rozliczeni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FD3AF9" w:rsidRPr="00454AE7">
              <w:rPr>
                <w:rFonts w:ascii="Arial" w:hAnsi="Arial"/>
                <w:sz w:val="22"/>
                <w:szCs w:val="22"/>
              </w:rPr>
              <w:t xml:space="preserve"> międzyokresowe kosztów </w:t>
            </w:r>
            <w:r>
              <w:rPr>
                <w:rFonts w:ascii="Arial" w:hAnsi="Arial"/>
                <w:sz w:val="22"/>
                <w:szCs w:val="22"/>
              </w:rPr>
              <w:t>w kwocie 13.101,42 zł.</w:t>
            </w:r>
            <w:r w:rsidR="000D62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zaprezentowano w pozycji B.IV</w:t>
            </w:r>
            <w:r w:rsidR="00B96478">
              <w:rPr>
                <w:rFonts w:ascii="Arial" w:hAnsi="Arial"/>
                <w:sz w:val="22"/>
                <w:szCs w:val="22"/>
              </w:rPr>
              <w:t xml:space="preserve">. W prezentowanej kwocie </w:t>
            </w:r>
            <w:r w:rsidR="00F02325">
              <w:rPr>
                <w:rFonts w:ascii="Arial" w:hAnsi="Arial"/>
                <w:sz w:val="22"/>
                <w:szCs w:val="22"/>
              </w:rPr>
              <w:t xml:space="preserve">ujęto </w:t>
            </w:r>
            <w:r w:rsidR="00FD3AF9" w:rsidRPr="00454AE7">
              <w:rPr>
                <w:rFonts w:ascii="Arial" w:hAnsi="Arial"/>
                <w:sz w:val="22"/>
                <w:szCs w:val="22"/>
              </w:rPr>
              <w:t xml:space="preserve">koszty </w:t>
            </w:r>
            <w:r w:rsidR="009A04F8" w:rsidRPr="00454AE7">
              <w:rPr>
                <w:rFonts w:ascii="Arial" w:hAnsi="Arial"/>
                <w:sz w:val="22"/>
                <w:szCs w:val="22"/>
              </w:rPr>
              <w:t xml:space="preserve">utrzymania domeny </w:t>
            </w:r>
            <w:r w:rsidR="00C7131E">
              <w:rPr>
                <w:rFonts w:ascii="Arial" w:hAnsi="Arial"/>
                <w:sz w:val="22"/>
                <w:szCs w:val="22"/>
              </w:rPr>
              <w:t>tgs.tychy.pl</w:t>
            </w:r>
            <w:r w:rsidR="009A04F8" w:rsidRPr="00454AE7">
              <w:rPr>
                <w:rFonts w:ascii="Arial" w:hAnsi="Arial"/>
                <w:sz w:val="22"/>
                <w:szCs w:val="22"/>
              </w:rPr>
              <w:t xml:space="preserve"> 8,20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9A04F8" w:rsidRPr="00454AE7">
              <w:rPr>
                <w:rFonts w:ascii="Arial" w:hAnsi="Arial"/>
                <w:sz w:val="22"/>
                <w:szCs w:val="22"/>
              </w:rPr>
              <w:t>, koszt odnowienia certyfikatów (przedłużenie podpisów elektronicznych) 2</w:t>
            </w:r>
            <w:r w:rsidR="00764E8D" w:rsidRPr="00454AE7">
              <w:rPr>
                <w:rFonts w:ascii="Arial" w:hAnsi="Arial"/>
                <w:sz w:val="22"/>
                <w:szCs w:val="22"/>
              </w:rPr>
              <w:t>45,10</w:t>
            </w:r>
            <w:r w:rsidR="00F4220D" w:rsidRPr="00454AE7">
              <w:rPr>
                <w:rFonts w:ascii="Arial" w:hAnsi="Arial"/>
                <w:sz w:val="22"/>
                <w:szCs w:val="22"/>
              </w:rPr>
              <w:t xml:space="preserve">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F4220D" w:rsidRPr="00454AE7">
              <w:rPr>
                <w:rFonts w:ascii="Arial" w:hAnsi="Arial"/>
                <w:sz w:val="22"/>
                <w:szCs w:val="22"/>
              </w:rPr>
              <w:t>,</w:t>
            </w:r>
            <w:r w:rsidR="00C017F2" w:rsidRPr="00454AE7">
              <w:rPr>
                <w:rFonts w:ascii="Arial" w:hAnsi="Arial"/>
                <w:sz w:val="22"/>
                <w:szCs w:val="22"/>
              </w:rPr>
              <w:t xml:space="preserve"> licencję do publikacji zdjęć podczas wystawy 2.400,68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C017F2" w:rsidRPr="00454AE7">
              <w:rPr>
                <w:rFonts w:ascii="Arial" w:hAnsi="Arial"/>
                <w:sz w:val="22"/>
                <w:szCs w:val="22"/>
              </w:rPr>
              <w:t xml:space="preserve">, certyfikat SSL </w:t>
            </w:r>
            <w:r w:rsidR="00B50354" w:rsidRPr="00454AE7">
              <w:rPr>
                <w:rFonts w:ascii="Arial" w:hAnsi="Arial"/>
                <w:sz w:val="22"/>
                <w:szCs w:val="22"/>
              </w:rPr>
              <w:t xml:space="preserve">do stron </w:t>
            </w:r>
            <w:proofErr w:type="spellStart"/>
            <w:r w:rsidR="00B50354" w:rsidRPr="00454AE7">
              <w:rPr>
                <w:rFonts w:ascii="Arial" w:hAnsi="Arial"/>
                <w:sz w:val="22"/>
                <w:szCs w:val="22"/>
              </w:rPr>
              <w:t>tgs.tychy,pl</w:t>
            </w:r>
            <w:proofErr w:type="spellEnd"/>
            <w:r w:rsidR="00B50354" w:rsidRPr="00454AE7">
              <w:rPr>
                <w:rFonts w:ascii="Arial" w:hAnsi="Arial"/>
                <w:sz w:val="22"/>
                <w:szCs w:val="22"/>
              </w:rPr>
              <w:t xml:space="preserve"> </w:t>
            </w:r>
            <w:r w:rsidR="00535ABB" w:rsidRPr="00454AE7">
              <w:rPr>
                <w:rFonts w:ascii="Arial" w:hAnsi="Arial"/>
                <w:sz w:val="22"/>
                <w:szCs w:val="22"/>
              </w:rPr>
              <w:t>237,55</w:t>
            </w:r>
            <w:r>
              <w:rPr>
                <w:rFonts w:ascii="Arial" w:hAnsi="Arial"/>
                <w:sz w:val="22"/>
                <w:szCs w:val="22"/>
              </w:rPr>
              <w:t> </w:t>
            </w:r>
            <w:r w:rsidR="00B50354" w:rsidRPr="00454AE7">
              <w:rPr>
                <w:rFonts w:ascii="Arial" w:hAnsi="Arial"/>
                <w:sz w:val="22"/>
                <w:szCs w:val="22"/>
              </w:rPr>
              <w:t>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B50354" w:rsidRPr="00454AE7">
              <w:rPr>
                <w:rFonts w:ascii="Arial" w:hAnsi="Arial"/>
                <w:sz w:val="22"/>
                <w:szCs w:val="22"/>
              </w:rPr>
              <w:t xml:space="preserve">, pakiet </w:t>
            </w:r>
            <w:proofErr w:type="spellStart"/>
            <w:r w:rsidR="00B50354" w:rsidRPr="00454AE7">
              <w:rPr>
                <w:rFonts w:ascii="Arial" w:hAnsi="Arial"/>
                <w:sz w:val="22"/>
                <w:szCs w:val="22"/>
              </w:rPr>
              <w:t>hostingowy</w:t>
            </w:r>
            <w:proofErr w:type="spellEnd"/>
            <w:r w:rsidR="00B50354" w:rsidRPr="00454AE7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B50354" w:rsidRPr="00454AE7">
              <w:rPr>
                <w:rFonts w:ascii="Arial" w:hAnsi="Arial"/>
                <w:sz w:val="22"/>
                <w:szCs w:val="22"/>
              </w:rPr>
              <w:t>NQ.vip</w:t>
            </w:r>
            <w:proofErr w:type="spellEnd"/>
            <w:r w:rsidR="00B50354" w:rsidRPr="00454AE7">
              <w:rPr>
                <w:rFonts w:ascii="Arial" w:hAnsi="Arial"/>
                <w:sz w:val="22"/>
                <w:szCs w:val="22"/>
              </w:rPr>
              <w:t xml:space="preserve">  999,30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B50354" w:rsidRPr="00454AE7">
              <w:rPr>
                <w:rFonts w:ascii="Arial" w:hAnsi="Arial"/>
                <w:sz w:val="22"/>
                <w:szCs w:val="22"/>
              </w:rPr>
              <w:t xml:space="preserve">, </w:t>
            </w:r>
            <w:r w:rsidR="000F5160" w:rsidRPr="00454AE7">
              <w:rPr>
                <w:rFonts w:ascii="Arial" w:hAnsi="Arial"/>
                <w:sz w:val="22"/>
                <w:szCs w:val="22"/>
              </w:rPr>
              <w:t xml:space="preserve">zakup subskrypcji </w:t>
            </w:r>
            <w:r w:rsidR="000F5160" w:rsidRPr="00323317">
              <w:rPr>
                <w:rFonts w:ascii="Arial" w:hAnsi="Arial"/>
                <w:sz w:val="22"/>
                <w:szCs w:val="22"/>
              </w:rPr>
              <w:t>Microsoft APPS for business dla 15 stanowisk 5.938,16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0F5160" w:rsidRPr="00323317">
              <w:rPr>
                <w:rFonts w:ascii="Arial" w:hAnsi="Arial"/>
                <w:sz w:val="22"/>
                <w:szCs w:val="22"/>
              </w:rPr>
              <w:t xml:space="preserve">, </w:t>
            </w:r>
            <w:r w:rsidR="006D1DC1" w:rsidRPr="00323317">
              <w:rPr>
                <w:rFonts w:ascii="Arial" w:hAnsi="Arial"/>
                <w:sz w:val="22"/>
                <w:szCs w:val="22"/>
              </w:rPr>
              <w:t xml:space="preserve">odnowienie domeny </w:t>
            </w:r>
            <w:hyperlink r:id="rId8" w:history="1">
              <w:r w:rsidR="006D1DC1" w:rsidRPr="00323317">
                <w:rPr>
                  <w:rStyle w:val="Hipercze"/>
                  <w:rFonts w:ascii="Arial" w:hAnsi="Arial"/>
                  <w:color w:val="auto"/>
                  <w:sz w:val="22"/>
                  <w:szCs w:val="22"/>
                  <w:u w:val="none"/>
                </w:rPr>
                <w:t>www.muzeum.tychy.pl</w:t>
              </w:r>
            </w:hyperlink>
            <w:r w:rsidR="006D1DC1" w:rsidRPr="00323317">
              <w:rPr>
                <w:rFonts w:ascii="Arial" w:hAnsi="Arial"/>
                <w:sz w:val="22"/>
                <w:szCs w:val="22"/>
              </w:rPr>
              <w:t xml:space="preserve"> 114,33</w:t>
            </w:r>
            <w:r>
              <w:rPr>
                <w:rFonts w:ascii="Arial" w:hAnsi="Arial"/>
                <w:sz w:val="22"/>
                <w:szCs w:val="22"/>
              </w:rPr>
              <w:t> </w:t>
            </w:r>
            <w:r w:rsidR="006D1DC1" w:rsidRPr="00323317">
              <w:rPr>
                <w:rFonts w:ascii="Arial" w:hAnsi="Arial"/>
                <w:sz w:val="22"/>
                <w:szCs w:val="22"/>
              </w:rPr>
              <w:t>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6D1DC1" w:rsidRPr="00323317">
              <w:rPr>
                <w:rFonts w:ascii="Arial" w:hAnsi="Arial"/>
                <w:sz w:val="22"/>
                <w:szCs w:val="22"/>
              </w:rPr>
              <w:t xml:space="preserve">, odnowienie domeny </w:t>
            </w:r>
            <w:hyperlink r:id="rId9" w:history="1">
              <w:r w:rsidR="006D1DC1" w:rsidRPr="00323317">
                <w:rPr>
                  <w:rStyle w:val="Hipercze"/>
                  <w:rFonts w:ascii="Arial" w:hAnsi="Arial"/>
                  <w:color w:val="auto"/>
                  <w:sz w:val="22"/>
                  <w:szCs w:val="22"/>
                  <w:u w:val="none"/>
                </w:rPr>
                <w:t>www.wislawodnagranica.pl</w:t>
              </w:r>
            </w:hyperlink>
            <w:r w:rsidR="006D1DC1" w:rsidRPr="00323317">
              <w:rPr>
                <w:rFonts w:ascii="Arial" w:hAnsi="Arial"/>
                <w:sz w:val="22"/>
                <w:szCs w:val="22"/>
              </w:rPr>
              <w:t xml:space="preserve"> 101,00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6D1DC1" w:rsidRPr="00323317">
              <w:rPr>
                <w:rFonts w:ascii="Arial" w:hAnsi="Arial"/>
                <w:sz w:val="22"/>
                <w:szCs w:val="22"/>
              </w:rPr>
              <w:t xml:space="preserve">, opłata okresowa za licencję systemu </w:t>
            </w:r>
            <w:proofErr w:type="spellStart"/>
            <w:r w:rsidR="006D1DC1" w:rsidRPr="00323317">
              <w:rPr>
                <w:rFonts w:ascii="Arial" w:hAnsi="Arial"/>
                <w:sz w:val="22"/>
                <w:szCs w:val="22"/>
              </w:rPr>
              <w:t>Muzeo</w:t>
            </w:r>
            <w:proofErr w:type="spellEnd"/>
            <w:r w:rsidR="006D1DC1" w:rsidRPr="00323317">
              <w:rPr>
                <w:rFonts w:ascii="Arial" w:hAnsi="Arial"/>
                <w:sz w:val="22"/>
                <w:szCs w:val="22"/>
              </w:rPr>
              <w:t xml:space="preserve"> dla 6 stanowisk 3.023,80 zł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6D1DC1" w:rsidRPr="00323317">
              <w:rPr>
                <w:rFonts w:ascii="Arial" w:hAnsi="Arial"/>
                <w:sz w:val="22"/>
                <w:szCs w:val="22"/>
              </w:rPr>
              <w:t>, zakup licencji do wideogramu pole eksploatacji wystawa stał</w:t>
            </w:r>
            <w:r w:rsidR="00FE2CC9">
              <w:rPr>
                <w:rFonts w:ascii="Arial" w:hAnsi="Arial"/>
                <w:sz w:val="22"/>
                <w:szCs w:val="22"/>
              </w:rPr>
              <w:t>a</w:t>
            </w:r>
            <w:r w:rsidR="006D1DC1" w:rsidRPr="00323317">
              <w:rPr>
                <w:rFonts w:ascii="Arial" w:hAnsi="Arial"/>
                <w:sz w:val="22"/>
                <w:szCs w:val="22"/>
              </w:rPr>
              <w:t xml:space="preserve"> TGS </w:t>
            </w:r>
            <w:r w:rsidR="00764E8D" w:rsidRPr="00323317">
              <w:rPr>
                <w:rFonts w:ascii="Arial" w:hAnsi="Arial"/>
                <w:sz w:val="22"/>
                <w:szCs w:val="22"/>
              </w:rPr>
              <w:t>33,30</w:t>
            </w:r>
            <w:r w:rsidR="006D1DC1" w:rsidRPr="00323317">
              <w:rPr>
                <w:rFonts w:ascii="Arial" w:hAnsi="Arial"/>
                <w:sz w:val="22"/>
                <w:szCs w:val="22"/>
              </w:rPr>
              <w:t xml:space="preserve"> zł.</w:t>
            </w:r>
          </w:p>
          <w:p w:rsidR="00764E8D" w:rsidRDefault="00CF4B9D" w:rsidP="00764E8D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 pozycji A.V. w długoterminowych rozliczaniach </w:t>
            </w:r>
            <w:r w:rsidR="00764E8D">
              <w:rPr>
                <w:rFonts w:ascii="Arial" w:hAnsi="Arial"/>
                <w:sz w:val="22"/>
                <w:szCs w:val="22"/>
              </w:rPr>
              <w:t>międzyokresow</w:t>
            </w:r>
            <w:r>
              <w:rPr>
                <w:rFonts w:ascii="Arial" w:hAnsi="Arial"/>
                <w:sz w:val="22"/>
                <w:szCs w:val="22"/>
              </w:rPr>
              <w:t xml:space="preserve">ych </w:t>
            </w:r>
            <w:r w:rsidR="00764E8D">
              <w:rPr>
                <w:rFonts w:ascii="Arial" w:hAnsi="Arial"/>
                <w:sz w:val="22"/>
                <w:szCs w:val="22"/>
              </w:rPr>
              <w:t xml:space="preserve">ujęto koszty </w:t>
            </w:r>
            <w:r w:rsidR="00764E8D" w:rsidRPr="005D2E54">
              <w:rPr>
                <w:rFonts w:ascii="Arial" w:hAnsi="Arial"/>
                <w:sz w:val="22"/>
                <w:szCs w:val="22"/>
              </w:rPr>
              <w:t xml:space="preserve">odnowienia certyfikatów (przedłużenie podpisów elektronicznych) </w:t>
            </w:r>
            <w:r w:rsidR="00764E8D">
              <w:rPr>
                <w:rFonts w:ascii="Arial" w:hAnsi="Arial"/>
                <w:sz w:val="22"/>
                <w:szCs w:val="22"/>
              </w:rPr>
              <w:t>21,43 zł</w:t>
            </w:r>
            <w:r w:rsidR="008A0708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oraz</w:t>
            </w:r>
            <w:r w:rsidR="00764E8D">
              <w:rPr>
                <w:rFonts w:ascii="Arial" w:hAnsi="Arial"/>
                <w:sz w:val="22"/>
                <w:szCs w:val="22"/>
              </w:rPr>
              <w:t xml:space="preserve"> </w:t>
            </w:r>
            <w:r w:rsidR="00764E8D" w:rsidRPr="005D2E54">
              <w:rPr>
                <w:rFonts w:ascii="Arial" w:hAnsi="Arial"/>
                <w:sz w:val="22"/>
                <w:szCs w:val="22"/>
              </w:rPr>
              <w:t>zakup licencji do wideogramu pole eksploatacji wystawa stał</w:t>
            </w:r>
            <w:r w:rsidR="00FE2CC9">
              <w:rPr>
                <w:rFonts w:ascii="Arial" w:hAnsi="Arial"/>
                <w:sz w:val="22"/>
                <w:szCs w:val="22"/>
              </w:rPr>
              <w:t>a</w:t>
            </w:r>
            <w:r w:rsidR="00764E8D" w:rsidRPr="005D2E54">
              <w:rPr>
                <w:rFonts w:ascii="Arial" w:hAnsi="Arial"/>
                <w:sz w:val="22"/>
                <w:szCs w:val="22"/>
              </w:rPr>
              <w:t xml:space="preserve"> TGS </w:t>
            </w:r>
            <w:r w:rsidR="00764E8D">
              <w:rPr>
                <w:rFonts w:ascii="Arial" w:hAnsi="Arial"/>
                <w:sz w:val="22"/>
                <w:szCs w:val="22"/>
              </w:rPr>
              <w:t>66,60</w:t>
            </w:r>
            <w:r w:rsidR="00764E8D" w:rsidRPr="005D2E54">
              <w:rPr>
                <w:rFonts w:ascii="Arial" w:hAnsi="Arial"/>
                <w:sz w:val="22"/>
                <w:szCs w:val="22"/>
              </w:rPr>
              <w:t xml:space="preserve"> zł.</w:t>
            </w:r>
          </w:p>
          <w:p w:rsidR="006D1DC1" w:rsidRPr="005D2E54" w:rsidRDefault="00764E8D" w:rsidP="00454D00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0E1285" w:rsidRPr="005D2E54" w:rsidRDefault="00155AE2" w:rsidP="00454D00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5D2E54">
              <w:rPr>
                <w:rFonts w:ascii="Arial" w:hAnsi="Arial"/>
                <w:sz w:val="22"/>
                <w:szCs w:val="22"/>
              </w:rPr>
              <w:lastRenderedPageBreak/>
              <w:t xml:space="preserve">Rozliczenia międzyokresowe długoterminowe przychodów to dotacje na zakupy inwestycyjne, które zgodnie z ustawą o rachunkowości zwiększają przychody w momencie odpisów amortyzacyjnych do wysokości tych odpisów w </w:t>
            </w:r>
            <w:r w:rsidR="00611EBF" w:rsidRPr="005D2E54">
              <w:rPr>
                <w:rFonts w:ascii="Arial" w:hAnsi="Arial"/>
                <w:sz w:val="22"/>
                <w:szCs w:val="22"/>
              </w:rPr>
              <w:t xml:space="preserve">kwocie </w:t>
            </w:r>
            <w:r w:rsidR="00DD252A" w:rsidRPr="005D2E54">
              <w:rPr>
                <w:rFonts w:ascii="Arial" w:hAnsi="Arial"/>
                <w:sz w:val="22"/>
                <w:szCs w:val="22"/>
              </w:rPr>
              <w:t>511.515,36</w:t>
            </w:r>
            <w:r w:rsidR="00AB75FB" w:rsidRPr="005D2E54">
              <w:rPr>
                <w:rFonts w:ascii="Arial" w:hAnsi="Arial"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/>
                <w:sz w:val="22"/>
                <w:szCs w:val="22"/>
              </w:rPr>
              <w:t>zł</w:t>
            </w:r>
            <w:r w:rsidR="0012601D">
              <w:rPr>
                <w:rFonts w:ascii="Arial" w:hAnsi="Arial"/>
                <w:sz w:val="22"/>
                <w:szCs w:val="22"/>
              </w:rPr>
              <w:t xml:space="preserve">. w tym </w:t>
            </w:r>
            <w:r w:rsidRPr="005D2E54">
              <w:rPr>
                <w:rFonts w:ascii="Arial" w:hAnsi="Arial"/>
                <w:sz w:val="22"/>
                <w:szCs w:val="22"/>
              </w:rPr>
              <w:t xml:space="preserve"> krótkoterminowe na kwotę </w:t>
            </w:r>
            <w:r w:rsidR="00DD252A" w:rsidRPr="005D2E54">
              <w:rPr>
                <w:rFonts w:ascii="Arial" w:hAnsi="Arial"/>
                <w:sz w:val="22"/>
                <w:szCs w:val="22"/>
              </w:rPr>
              <w:t>2</w:t>
            </w:r>
            <w:r w:rsidR="00CC21C3" w:rsidRPr="005D2E54">
              <w:rPr>
                <w:rFonts w:ascii="Arial" w:hAnsi="Arial"/>
                <w:sz w:val="22"/>
                <w:szCs w:val="22"/>
              </w:rPr>
              <w:t>4.806,98</w:t>
            </w:r>
            <w:r w:rsidR="00AB75FB" w:rsidRPr="005D2E54">
              <w:rPr>
                <w:rFonts w:ascii="Arial" w:hAnsi="Arial"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/>
                <w:sz w:val="22"/>
                <w:szCs w:val="22"/>
              </w:rPr>
              <w:t xml:space="preserve">zł. </w:t>
            </w:r>
            <w:r w:rsidR="0012601D">
              <w:rPr>
                <w:rFonts w:ascii="Arial" w:hAnsi="Arial"/>
                <w:sz w:val="22"/>
                <w:szCs w:val="22"/>
              </w:rPr>
              <w:t xml:space="preserve">i długoterminowe </w:t>
            </w:r>
            <w:r w:rsidRPr="005D2E54">
              <w:rPr>
                <w:rFonts w:ascii="Arial" w:hAnsi="Arial"/>
                <w:sz w:val="22"/>
                <w:szCs w:val="22"/>
              </w:rPr>
              <w:t>z tytułu</w:t>
            </w:r>
            <w:r w:rsidR="001A55A3" w:rsidRPr="005D2E54">
              <w:rPr>
                <w:rFonts w:ascii="Arial" w:hAnsi="Arial"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/>
                <w:sz w:val="22"/>
                <w:szCs w:val="22"/>
              </w:rPr>
              <w:t>odpisów amortyzacyjnych w 20</w:t>
            </w:r>
            <w:r w:rsidR="00D8441A" w:rsidRPr="005D2E54">
              <w:rPr>
                <w:rFonts w:ascii="Arial" w:hAnsi="Arial"/>
                <w:sz w:val="22"/>
                <w:szCs w:val="22"/>
              </w:rPr>
              <w:t>2</w:t>
            </w:r>
            <w:r w:rsidR="00DD252A" w:rsidRPr="005D2E54">
              <w:rPr>
                <w:rFonts w:ascii="Arial" w:hAnsi="Arial"/>
                <w:sz w:val="22"/>
                <w:szCs w:val="22"/>
              </w:rPr>
              <w:t>3</w:t>
            </w:r>
            <w:r w:rsidRPr="005D2E54">
              <w:rPr>
                <w:rFonts w:ascii="Arial" w:hAnsi="Arial"/>
                <w:sz w:val="22"/>
                <w:szCs w:val="22"/>
              </w:rPr>
              <w:t xml:space="preserve"> r.  </w:t>
            </w:r>
          </w:p>
          <w:p w:rsidR="00394A52" w:rsidRPr="005D2E54" w:rsidRDefault="00394A52" w:rsidP="00454D00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1.14.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łączną kwotę otrzymanych przez jednostkę gwarancji i poręczeń niewykazanych w</w:t>
            </w:r>
            <w:r w:rsidR="00611EBF" w:rsidRPr="005D2E5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bilansie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7008E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struktury przychodów ze sprzedaży</w:t>
            </w:r>
          </w:p>
        </w:tc>
      </w:tr>
      <w:tr w:rsidR="00044C0C" w:rsidTr="00567987">
        <w:trPr>
          <w:trHeight w:val="1714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71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1"/>
              <w:gridCol w:w="1644"/>
            </w:tblGrid>
            <w:tr w:rsidR="005D2E54" w:rsidRPr="005D2E54" w:rsidTr="00611EBF">
              <w:trPr>
                <w:jc w:val="center"/>
              </w:trPr>
              <w:tc>
                <w:tcPr>
                  <w:tcW w:w="5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Dotacja z Gminy Miasta Tychy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063738" w:rsidP="00EF194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2.140.908,50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Dotacja z Ministerstwa Kultury i Dziedzictwa Narodowego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1B0A" w:rsidRPr="005D2E54" w:rsidRDefault="00063738" w:rsidP="009A1B0A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81.355,00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63738" w:rsidRPr="005D2E54" w:rsidRDefault="00063738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Dotacja z Narodowego Centrum Kultury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63738" w:rsidRPr="005D2E54" w:rsidRDefault="00063738" w:rsidP="009A1B0A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7.660,00</w:t>
                  </w:r>
                </w:p>
              </w:tc>
            </w:tr>
            <w:tr w:rsidR="005D2E54" w:rsidRPr="005D2E54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Przychody ze sprzedaży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D2E54" w:rsidRDefault="00063738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 w:rsidRPr="005D2E54">
                    <w:rPr>
                      <w:rFonts w:ascii="Arial" w:hAnsi="Arial"/>
                      <w:sz w:val="20"/>
                      <w:szCs w:val="22"/>
                    </w:rPr>
                    <w:t>108.539,81</w:t>
                  </w:r>
                </w:p>
              </w:tc>
            </w:tr>
          </w:tbl>
          <w:p w:rsidR="00044C0C" w:rsidRPr="005D2E54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inne informacje</w:t>
            </w:r>
          </w:p>
        </w:tc>
      </w:tr>
      <w:tr w:rsidR="00044C0C" w:rsidTr="00567987">
        <w:trPr>
          <w:trHeight w:val="140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809" w:rsidRPr="005D2E54" w:rsidRDefault="00705809" w:rsidP="00003E08">
            <w:pPr>
              <w:pStyle w:val="standard0"/>
              <w:widowControl w:val="0"/>
              <w:spacing w:before="0" w:beforeAutospacing="0" w:after="0" w:afterAutospacing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3E08" w:rsidRPr="005D2E54" w:rsidRDefault="00003E08" w:rsidP="00003E08">
            <w:pPr>
              <w:pStyle w:val="standard0"/>
              <w:widowControl w:val="0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Przeciętne zatrudnienie w 202</w:t>
            </w:r>
            <w:r w:rsidR="00663CC8" w:rsidRPr="005D2E54">
              <w:rPr>
                <w:rFonts w:ascii="Arial" w:hAnsi="Arial" w:cs="Arial"/>
                <w:sz w:val="22"/>
                <w:szCs w:val="22"/>
              </w:rPr>
              <w:t>3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r. wyniosło</w:t>
            </w:r>
            <w:r w:rsidR="003A7BDF" w:rsidRPr="005D2E54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3600ED" w:rsidRPr="005D2E54">
              <w:rPr>
                <w:rFonts w:ascii="Arial" w:hAnsi="Arial" w:cs="Arial"/>
                <w:sz w:val="22"/>
                <w:szCs w:val="22"/>
              </w:rPr>
              <w:t>7</w:t>
            </w:r>
            <w:r w:rsidR="003A7BDF" w:rsidRPr="005D2E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sz w:val="22"/>
                <w:szCs w:val="22"/>
              </w:rPr>
              <w:t>osób, co 1</w:t>
            </w:r>
            <w:r w:rsidR="003600ED" w:rsidRPr="005D2E54">
              <w:rPr>
                <w:rFonts w:ascii="Arial" w:hAnsi="Arial" w:cs="Arial"/>
                <w:sz w:val="22"/>
                <w:szCs w:val="22"/>
              </w:rPr>
              <w:t>3,71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etatu przeliczeniowego </w:t>
            </w:r>
            <w:r w:rsidRPr="005D2E54">
              <w:rPr>
                <w:rFonts w:ascii="Arial" w:hAnsi="Arial" w:cs="Arial"/>
                <w:sz w:val="22"/>
                <w:szCs w:val="22"/>
              </w:rPr>
              <w:br/>
              <w:t>w tym:</w:t>
            </w:r>
          </w:p>
          <w:p w:rsidR="00003E08" w:rsidRPr="005D2E54" w:rsidRDefault="00003E08" w:rsidP="00003E08">
            <w:pPr>
              <w:pStyle w:val="standard0"/>
              <w:widowControl w:val="0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Dyrekcja                                     – </w:t>
            </w:r>
            <w:r w:rsidR="00594C9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2E54">
              <w:rPr>
                <w:rFonts w:ascii="Arial" w:hAnsi="Arial" w:cs="Arial"/>
                <w:sz w:val="22"/>
                <w:szCs w:val="22"/>
              </w:rPr>
              <w:t>1 osob</w:t>
            </w:r>
            <w:r w:rsidR="00663CC8" w:rsidRPr="005D2E54">
              <w:rPr>
                <w:rFonts w:ascii="Arial" w:hAnsi="Arial" w:cs="Arial"/>
                <w:sz w:val="22"/>
                <w:szCs w:val="22"/>
              </w:rPr>
              <w:t>a</w:t>
            </w:r>
            <w:r w:rsidRPr="005D2E54">
              <w:rPr>
                <w:rFonts w:ascii="Arial" w:hAnsi="Arial" w:cs="Arial"/>
                <w:sz w:val="22"/>
                <w:szCs w:val="22"/>
              </w:rPr>
              <w:t>, co stanowi</w:t>
            </w:r>
            <w:r w:rsidR="00594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D0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2E54">
              <w:rPr>
                <w:rFonts w:ascii="Arial" w:hAnsi="Arial" w:cs="Arial"/>
                <w:sz w:val="22"/>
                <w:szCs w:val="22"/>
              </w:rPr>
              <w:t>1</w:t>
            </w:r>
            <w:r w:rsidR="00210D0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5D2E54">
              <w:rPr>
                <w:rFonts w:ascii="Arial" w:hAnsi="Arial" w:cs="Arial"/>
                <w:sz w:val="22"/>
                <w:szCs w:val="22"/>
              </w:rPr>
              <w:t>etat</w:t>
            </w:r>
          </w:p>
          <w:p w:rsidR="00003E08" w:rsidRPr="005D2E54" w:rsidRDefault="00003E08" w:rsidP="00003E08">
            <w:pPr>
              <w:pStyle w:val="standard0"/>
              <w:widowControl w:val="0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Pracownicy merytoryczni           – 1</w:t>
            </w:r>
            <w:r w:rsidR="003600ED" w:rsidRPr="005D2E54">
              <w:rPr>
                <w:rFonts w:ascii="Arial" w:hAnsi="Arial" w:cs="Arial"/>
                <w:sz w:val="22"/>
                <w:szCs w:val="22"/>
              </w:rPr>
              <w:t>4</w:t>
            </w:r>
            <w:r w:rsidRPr="005D2E54">
              <w:rPr>
                <w:rFonts w:ascii="Arial" w:hAnsi="Arial" w:cs="Arial"/>
                <w:sz w:val="22"/>
                <w:szCs w:val="22"/>
              </w:rPr>
              <w:t> </w:t>
            </w:r>
            <w:r w:rsidR="00210D0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2E54">
              <w:rPr>
                <w:rFonts w:ascii="Arial" w:hAnsi="Arial" w:cs="Arial"/>
                <w:sz w:val="22"/>
                <w:szCs w:val="22"/>
              </w:rPr>
              <w:t>os</w:t>
            </w:r>
            <w:r w:rsidR="00663CC8" w:rsidRPr="005D2E54">
              <w:rPr>
                <w:rFonts w:ascii="Arial" w:hAnsi="Arial" w:cs="Arial"/>
                <w:sz w:val="22"/>
                <w:szCs w:val="22"/>
              </w:rPr>
              <w:t>ób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, co stanowi </w:t>
            </w:r>
            <w:r w:rsidR="003600ED" w:rsidRPr="005D2E54">
              <w:rPr>
                <w:rFonts w:ascii="Arial" w:hAnsi="Arial" w:cs="Arial"/>
                <w:sz w:val="22"/>
                <w:szCs w:val="22"/>
              </w:rPr>
              <w:t>10,71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etatu</w:t>
            </w:r>
          </w:p>
          <w:p w:rsidR="00003E08" w:rsidRPr="005D2E54" w:rsidRDefault="00003E08" w:rsidP="00003E08">
            <w:pPr>
              <w:pStyle w:val="standard0"/>
              <w:widowControl w:val="0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Pracownicy administracyjni        –</w:t>
            </w:r>
            <w:r w:rsidR="00594C9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2 osoby, co stanowi</w:t>
            </w:r>
            <w:r w:rsidR="00594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D0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210D0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D2E54">
              <w:rPr>
                <w:rFonts w:ascii="Arial" w:hAnsi="Arial" w:cs="Arial"/>
                <w:sz w:val="22"/>
                <w:szCs w:val="22"/>
              </w:rPr>
              <w:t>etat</w:t>
            </w:r>
            <w:r w:rsidR="00B433FD" w:rsidRPr="005D2E54"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044C0C" w:rsidRPr="005D2E54" w:rsidRDefault="00044C0C" w:rsidP="003A4F7A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F3333E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F3333E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wysokość odpisów aktualizujących wartość zapasów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kwotęicharakterposzczególnychpozycjiprzychodówlubkosztówonadzwyczajnejwartościlubktórewystąpiły incydentalnie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</w:t>
            </w:r>
            <w:r w:rsidR="00155AE2" w:rsidRPr="005D2E54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 sprawozdaniu z wykonania planu dochodów budżetowych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</w:t>
            </w:r>
            <w:r w:rsidR="00155AE2" w:rsidRPr="005D2E54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inne informacje</w:t>
            </w:r>
          </w:p>
        </w:tc>
      </w:tr>
      <w:tr w:rsidR="00044C0C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42" w:rsidRPr="005D2E54" w:rsidRDefault="00DC024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4C0C" w:rsidRPr="005D2E54" w:rsidRDefault="008A50FE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Zobowiązanie wobec Gminy Miasta Tychy z tytułu zwrotu dotacji w kwocie </w:t>
            </w:r>
            <w:r w:rsidR="00BC6246" w:rsidRPr="005D2E54">
              <w:rPr>
                <w:rFonts w:ascii="Arial" w:hAnsi="Arial" w:cs="Arial"/>
                <w:sz w:val="22"/>
                <w:szCs w:val="22"/>
              </w:rPr>
              <w:t>2</w:t>
            </w:r>
            <w:r w:rsidR="00D84724">
              <w:rPr>
                <w:rFonts w:ascii="Arial" w:hAnsi="Arial" w:cs="Arial"/>
                <w:sz w:val="22"/>
                <w:szCs w:val="22"/>
              </w:rPr>
              <w:t>6.963,10</w:t>
            </w:r>
            <w:r w:rsidR="009767BF" w:rsidRPr="005D2E54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02325">
              <w:rPr>
                <w:rFonts w:ascii="Arial" w:hAnsi="Arial" w:cs="Arial"/>
                <w:sz w:val="22"/>
                <w:szCs w:val="22"/>
              </w:rPr>
              <w:t>.</w:t>
            </w:r>
            <w:r w:rsidR="00AB7F92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="00D84724">
              <w:rPr>
                <w:rFonts w:ascii="Arial" w:hAnsi="Arial" w:cs="Arial"/>
                <w:sz w:val="22"/>
                <w:szCs w:val="22"/>
              </w:rPr>
              <w:t>rozrachunki z pracownikami z tytułu jazd lokalnych w kwocie 112,70 zł</w:t>
            </w:r>
            <w:r w:rsidR="00F02325">
              <w:rPr>
                <w:rFonts w:ascii="Arial" w:hAnsi="Arial" w:cs="Arial"/>
                <w:sz w:val="22"/>
                <w:szCs w:val="22"/>
              </w:rPr>
              <w:t>.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zaprezentowano </w:t>
            </w:r>
            <w:r w:rsidR="00D84724">
              <w:rPr>
                <w:rFonts w:ascii="Arial" w:hAnsi="Arial" w:cs="Arial"/>
                <w:sz w:val="22"/>
                <w:szCs w:val="22"/>
              </w:rPr>
              <w:br/>
            </w:r>
            <w:r w:rsidRPr="005D2E54">
              <w:rPr>
                <w:rFonts w:ascii="Arial" w:hAnsi="Arial" w:cs="Arial"/>
                <w:sz w:val="22"/>
                <w:szCs w:val="22"/>
              </w:rPr>
              <w:t>w bilansie w poz. B III.</w:t>
            </w:r>
            <w:r w:rsidR="000C309F" w:rsidRPr="005D2E54">
              <w:rPr>
                <w:rFonts w:ascii="Arial" w:hAnsi="Arial" w:cs="Arial"/>
                <w:sz w:val="22"/>
                <w:szCs w:val="22"/>
              </w:rPr>
              <w:t>3</w:t>
            </w:r>
            <w:r w:rsidRPr="005D2E54">
              <w:rPr>
                <w:rFonts w:ascii="Arial" w:hAnsi="Arial" w:cs="Arial"/>
                <w:sz w:val="22"/>
                <w:szCs w:val="22"/>
              </w:rPr>
              <w:t>.i.</w:t>
            </w:r>
          </w:p>
          <w:p w:rsidR="006F7315" w:rsidRPr="005D2E54" w:rsidRDefault="000C309F" w:rsidP="006F731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2601D"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Pr="005D2E54">
              <w:rPr>
                <w:rFonts w:ascii="Arial" w:hAnsi="Arial" w:cs="Arial"/>
                <w:sz w:val="22"/>
                <w:szCs w:val="22"/>
              </w:rPr>
              <w:t>31 grudnia 2023 r. nie wystąpiły zobowiązania wobec Ministerstwa Kultury i</w:t>
            </w:r>
            <w:r w:rsidR="0012601D">
              <w:rPr>
                <w:rFonts w:ascii="Arial" w:hAnsi="Arial" w:cs="Arial"/>
                <w:sz w:val="22"/>
                <w:szCs w:val="22"/>
              </w:rPr>
              <w:t> 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Dziedzictwa Narodowego z tytułu zwrotu dotacji. </w:t>
            </w:r>
          </w:p>
          <w:p w:rsidR="0084194E" w:rsidRPr="005D2E54" w:rsidRDefault="0084194E" w:rsidP="006F731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Zobowiązania wobec kontrahentów o okresie wymagalności do 12 miesięcy wynoszą </w:t>
            </w:r>
            <w:r w:rsidR="007114DE">
              <w:rPr>
                <w:rFonts w:ascii="Arial" w:hAnsi="Arial" w:cs="Arial"/>
                <w:sz w:val="22"/>
                <w:szCs w:val="22"/>
              </w:rPr>
              <w:t>12.583,49</w:t>
            </w:r>
            <w:r w:rsidR="000B3990" w:rsidRPr="005D2E54">
              <w:rPr>
                <w:rFonts w:ascii="Arial" w:hAnsi="Arial" w:cs="Arial"/>
                <w:sz w:val="22"/>
                <w:szCs w:val="22"/>
              </w:rPr>
              <w:t xml:space="preserve"> zł., które zaprezentowano w bilansie w poz. B.III.3</w:t>
            </w:r>
            <w:r w:rsidR="004E1C50" w:rsidRPr="005D2E54">
              <w:rPr>
                <w:rFonts w:ascii="Arial" w:hAnsi="Arial" w:cs="Arial"/>
                <w:sz w:val="22"/>
                <w:szCs w:val="22"/>
              </w:rPr>
              <w:t>.</w:t>
            </w:r>
            <w:r w:rsidR="007B43F7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B3990" w:rsidRPr="005D2E54" w:rsidRDefault="000B3990" w:rsidP="006F731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Pozycja B.III.3.g obejmuje zobowiązanie wobec Urzędu Skarbowego </w:t>
            </w:r>
            <w:r w:rsidR="0012601D">
              <w:rPr>
                <w:rFonts w:ascii="Arial" w:hAnsi="Arial" w:cs="Arial"/>
                <w:sz w:val="22"/>
                <w:szCs w:val="22"/>
              </w:rPr>
              <w:t xml:space="preserve">z tytułu podatku od towarów i usług 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na kwotę </w:t>
            </w:r>
            <w:r w:rsidR="00C41D4C" w:rsidRPr="005D2E54">
              <w:rPr>
                <w:rFonts w:ascii="Arial" w:hAnsi="Arial" w:cs="Arial"/>
                <w:sz w:val="22"/>
                <w:szCs w:val="22"/>
              </w:rPr>
              <w:t>81</w:t>
            </w:r>
            <w:r w:rsidR="007114DE">
              <w:rPr>
                <w:rFonts w:ascii="Arial" w:hAnsi="Arial" w:cs="Arial"/>
                <w:sz w:val="22"/>
                <w:szCs w:val="22"/>
              </w:rPr>
              <w:t>6,55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  <w:p w:rsidR="00483D98" w:rsidRDefault="00B93885" w:rsidP="00B9388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bilansie w poz. B.II.3.c wykazano n</w:t>
            </w:r>
            <w:r w:rsidR="00944A22" w:rsidRPr="005D2E54">
              <w:rPr>
                <w:rFonts w:ascii="Arial" w:hAnsi="Arial" w:cs="Arial"/>
                <w:sz w:val="22"/>
                <w:szCs w:val="22"/>
              </w:rPr>
              <w:t>ależności z tytułu niedoborów i szkód w kwocie 2.295,00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44A22" w:rsidRPr="005D2E54">
              <w:rPr>
                <w:rFonts w:ascii="Arial" w:hAnsi="Arial" w:cs="Arial"/>
                <w:sz w:val="22"/>
                <w:szCs w:val="22"/>
              </w:rPr>
              <w:t>zł</w:t>
            </w:r>
            <w:r w:rsidR="00F0232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980">
              <w:rPr>
                <w:rFonts w:ascii="Arial" w:hAnsi="Arial" w:cs="Arial"/>
                <w:sz w:val="22"/>
                <w:szCs w:val="22"/>
              </w:rPr>
              <w:t>(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Muzeum </w:t>
            </w:r>
            <w:r w:rsidRPr="00B93885">
              <w:rPr>
                <w:rFonts w:ascii="Arial" w:hAnsi="Arial" w:cs="Arial"/>
                <w:sz w:val="16"/>
                <w:szCs w:val="16"/>
              </w:rPr>
              <w:t>Miejskie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F9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Tychach zgłosiło </w:t>
            </w:r>
            <w:r w:rsidRPr="00B93885">
              <w:rPr>
                <w:rFonts w:ascii="Arial" w:hAnsi="Arial" w:cs="Arial"/>
                <w:sz w:val="16"/>
                <w:szCs w:val="16"/>
              </w:rPr>
              <w:t>utratę zbiorów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 Kom</w:t>
            </w:r>
            <w:r w:rsidRPr="00B93885">
              <w:rPr>
                <w:rFonts w:ascii="Arial" w:hAnsi="Arial" w:cs="Arial"/>
                <w:sz w:val="16"/>
                <w:szCs w:val="16"/>
              </w:rPr>
              <w:t>endzie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3885">
              <w:rPr>
                <w:rFonts w:ascii="Arial" w:hAnsi="Arial" w:cs="Arial"/>
                <w:sz w:val="16"/>
                <w:szCs w:val="16"/>
              </w:rPr>
              <w:t>Miejskiej</w:t>
            </w:r>
            <w:r w:rsidR="00DA0980" w:rsidRPr="00B93885">
              <w:rPr>
                <w:rFonts w:ascii="Arial" w:hAnsi="Arial" w:cs="Arial"/>
                <w:sz w:val="16"/>
                <w:szCs w:val="16"/>
              </w:rPr>
              <w:t xml:space="preserve"> Policji w Tychach – pismo Znak: ET.222.1.2024 dnia 14.03.2024 r.</w:t>
            </w:r>
            <w:r w:rsidR="00DA098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83D98">
              <w:rPr>
                <w:rFonts w:ascii="Arial" w:hAnsi="Arial" w:cs="Arial"/>
                <w:sz w:val="22"/>
                <w:szCs w:val="22"/>
              </w:rPr>
              <w:t>należności z tytułu rozrachunków z pracownikami w kwocie 58,60 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83D98">
              <w:rPr>
                <w:rFonts w:ascii="Arial" w:hAnsi="Arial" w:cs="Arial"/>
                <w:sz w:val="22"/>
                <w:szCs w:val="22"/>
              </w:rPr>
              <w:t xml:space="preserve"> oraz naliczone odsetki za nieterminową płatność Muzeum Architektury we </w:t>
            </w:r>
            <w:r w:rsidR="00483D98">
              <w:rPr>
                <w:rFonts w:ascii="Arial" w:hAnsi="Arial" w:cs="Arial"/>
                <w:sz w:val="22"/>
                <w:szCs w:val="22"/>
              </w:rPr>
              <w:lastRenderedPageBreak/>
              <w:t>Wrocławiu w kwocie 6,77 zł</w:t>
            </w:r>
            <w:r w:rsidR="00F023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2B83" w:rsidRPr="005D2E54" w:rsidRDefault="00572B83" w:rsidP="00B9388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>Należność z tytułu podatk</w:t>
            </w:r>
            <w:r w:rsidR="00B93885">
              <w:rPr>
                <w:rFonts w:ascii="Arial" w:hAnsi="Arial" w:cs="Arial"/>
                <w:sz w:val="22"/>
                <w:szCs w:val="22"/>
              </w:rPr>
              <w:t>u dochodowego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w kwocie 1,00 zł</w:t>
            </w:r>
            <w:r w:rsidR="00F02325">
              <w:rPr>
                <w:rFonts w:ascii="Arial" w:hAnsi="Arial" w:cs="Arial"/>
                <w:sz w:val="22"/>
                <w:szCs w:val="22"/>
              </w:rPr>
              <w:t>.</w:t>
            </w:r>
            <w:r w:rsidRPr="005D2E54">
              <w:rPr>
                <w:rFonts w:ascii="Arial" w:hAnsi="Arial" w:cs="Arial"/>
                <w:sz w:val="22"/>
                <w:szCs w:val="22"/>
              </w:rPr>
              <w:t>, zaprezentowan</w:t>
            </w:r>
            <w:r w:rsidR="00AB7F92">
              <w:rPr>
                <w:rFonts w:ascii="Arial" w:hAnsi="Arial" w:cs="Arial"/>
                <w:sz w:val="22"/>
                <w:szCs w:val="22"/>
              </w:rPr>
              <w:t>o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 w bilansie w</w:t>
            </w:r>
            <w:r w:rsidR="00B93885">
              <w:rPr>
                <w:rFonts w:ascii="Arial" w:hAnsi="Arial" w:cs="Arial"/>
                <w:sz w:val="22"/>
                <w:szCs w:val="22"/>
              </w:rPr>
              <w:t> </w:t>
            </w:r>
            <w:r w:rsidRPr="005D2E54">
              <w:rPr>
                <w:rFonts w:ascii="Arial" w:hAnsi="Arial" w:cs="Arial"/>
                <w:sz w:val="22"/>
                <w:szCs w:val="22"/>
              </w:rPr>
              <w:t xml:space="preserve">poz. B.II </w:t>
            </w:r>
            <w:r w:rsidR="00483D98">
              <w:rPr>
                <w:rFonts w:ascii="Arial" w:hAnsi="Arial" w:cs="Arial"/>
                <w:sz w:val="22"/>
                <w:szCs w:val="22"/>
              </w:rPr>
              <w:t>3.b.</w:t>
            </w:r>
          </w:p>
          <w:p w:rsidR="00B3133D" w:rsidRDefault="00B3133D" w:rsidP="00B9388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E54">
              <w:rPr>
                <w:rFonts w:ascii="Arial" w:hAnsi="Arial" w:cs="Arial"/>
                <w:sz w:val="22"/>
                <w:szCs w:val="22"/>
              </w:rPr>
              <w:t xml:space="preserve">Należności od kontrahentów w okresie wymagalności do 12 miesięcy na kwotę </w:t>
            </w:r>
            <w:r w:rsidR="00572B83" w:rsidRPr="005D2E54">
              <w:rPr>
                <w:rFonts w:ascii="Arial" w:hAnsi="Arial" w:cs="Arial"/>
                <w:sz w:val="22"/>
                <w:szCs w:val="22"/>
              </w:rPr>
              <w:t>4.</w:t>
            </w:r>
            <w:r w:rsidR="00AB61EB">
              <w:rPr>
                <w:rFonts w:ascii="Arial" w:hAnsi="Arial" w:cs="Arial"/>
                <w:sz w:val="22"/>
                <w:szCs w:val="22"/>
              </w:rPr>
              <w:t>173,00</w:t>
            </w:r>
            <w:r w:rsidR="00CF4B9D">
              <w:rPr>
                <w:rFonts w:ascii="Arial" w:hAnsi="Arial" w:cs="Arial"/>
                <w:sz w:val="22"/>
                <w:szCs w:val="22"/>
              </w:rPr>
              <w:t> </w:t>
            </w:r>
            <w:r w:rsidRPr="005D2E54">
              <w:rPr>
                <w:rFonts w:ascii="Arial" w:hAnsi="Arial" w:cs="Arial"/>
                <w:sz w:val="22"/>
                <w:szCs w:val="22"/>
              </w:rPr>
              <w:t>zł</w:t>
            </w:r>
            <w:r w:rsidR="00750840" w:rsidRPr="005D2E54">
              <w:rPr>
                <w:rFonts w:ascii="Arial" w:hAnsi="Arial" w:cs="Arial"/>
                <w:sz w:val="22"/>
                <w:szCs w:val="22"/>
              </w:rPr>
              <w:t>.</w:t>
            </w:r>
            <w:r w:rsidRPr="005D2E54">
              <w:rPr>
                <w:rFonts w:ascii="Arial" w:hAnsi="Arial" w:cs="Arial"/>
                <w:sz w:val="22"/>
                <w:szCs w:val="22"/>
              </w:rPr>
              <w:t>, zaprezentowano w bilansie B.II.3.a.</w:t>
            </w:r>
          </w:p>
          <w:p w:rsidR="00347D92" w:rsidRDefault="00347D92" w:rsidP="00B9388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601D" w:rsidRDefault="00347D92" w:rsidP="006F7315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Informacji dodatkowej w pozycji </w:t>
            </w:r>
            <w:r w:rsidR="00985A8A">
              <w:rPr>
                <w:rFonts w:ascii="Arial" w:hAnsi="Arial" w:cs="Arial"/>
                <w:sz w:val="22"/>
                <w:szCs w:val="22"/>
              </w:rPr>
              <w:t xml:space="preserve">Nr II.1.1. </w:t>
            </w:r>
            <w:r w:rsidR="000D62B5">
              <w:rPr>
                <w:rFonts w:ascii="Arial" w:hAnsi="Arial" w:cs="Arial"/>
                <w:sz w:val="22"/>
                <w:szCs w:val="22"/>
              </w:rPr>
              <w:t>„</w:t>
            </w:r>
            <w:r w:rsidR="00985A8A">
              <w:rPr>
                <w:rFonts w:ascii="Arial" w:hAnsi="Arial" w:cs="Arial"/>
                <w:sz w:val="22"/>
                <w:szCs w:val="22"/>
              </w:rPr>
              <w:t xml:space="preserve">Materiały (ilościowo-wartościowe), eksponaty </w:t>
            </w:r>
            <w:r w:rsidR="00985A8A">
              <w:rPr>
                <w:rFonts w:ascii="Arial" w:hAnsi="Arial" w:cs="Arial"/>
                <w:sz w:val="22"/>
                <w:szCs w:val="22"/>
              </w:rPr>
              <w:br/>
              <w:t xml:space="preserve">i </w:t>
            </w:r>
            <w:r w:rsidR="00985A8A" w:rsidRPr="003C66EA">
              <w:rPr>
                <w:rFonts w:ascii="Arial" w:hAnsi="Arial" w:cs="Arial"/>
                <w:sz w:val="22"/>
                <w:szCs w:val="22"/>
              </w:rPr>
              <w:t>zabytki</w:t>
            </w:r>
            <w:r w:rsidR="000D62B5">
              <w:rPr>
                <w:rFonts w:ascii="Arial" w:hAnsi="Arial" w:cs="Arial"/>
                <w:sz w:val="22"/>
                <w:szCs w:val="22"/>
              </w:rPr>
              <w:t>”</w:t>
            </w:r>
            <w:r w:rsidR="00985A8A" w:rsidRPr="003C66EA">
              <w:rPr>
                <w:rFonts w:ascii="Arial" w:hAnsi="Arial" w:cs="Arial"/>
                <w:sz w:val="22"/>
                <w:szCs w:val="22"/>
              </w:rPr>
              <w:t xml:space="preserve"> wykazano zmniejszenie na kwotę 7.001,07 zł. Wartość wynika z </w:t>
            </w:r>
            <w:r w:rsidR="00D14455" w:rsidRPr="003C66EA">
              <w:rPr>
                <w:rFonts w:ascii="Arial" w:hAnsi="Arial" w:cs="Arial"/>
                <w:sz w:val="22"/>
                <w:szCs w:val="22"/>
              </w:rPr>
              <w:t xml:space="preserve">przeniesienia </w:t>
            </w:r>
            <w:r w:rsidR="00B05F32" w:rsidRPr="003C66EA">
              <w:rPr>
                <w:rFonts w:ascii="Arial" w:hAnsi="Arial" w:cs="Arial"/>
                <w:sz w:val="22"/>
                <w:szCs w:val="22"/>
              </w:rPr>
              <w:br/>
            </w:r>
            <w:r w:rsidR="0012601D">
              <w:rPr>
                <w:rFonts w:ascii="Arial" w:hAnsi="Arial" w:cs="Arial"/>
                <w:sz w:val="22"/>
                <w:szCs w:val="22"/>
              </w:rPr>
              <w:t xml:space="preserve">pomiędzy </w:t>
            </w:r>
            <w:r w:rsidR="00B93885">
              <w:rPr>
                <w:rFonts w:ascii="Arial" w:hAnsi="Arial" w:cs="Arial"/>
                <w:sz w:val="22"/>
                <w:szCs w:val="22"/>
              </w:rPr>
              <w:t>D</w:t>
            </w:r>
            <w:r w:rsidR="0012601D">
              <w:rPr>
                <w:rFonts w:ascii="Arial" w:hAnsi="Arial" w:cs="Arial"/>
                <w:sz w:val="22"/>
                <w:szCs w:val="22"/>
              </w:rPr>
              <w:t>ziałami zbiorów muzealnych na kwotę 4.656,07 zł., wyksięgowani</w:t>
            </w:r>
            <w:r w:rsidR="00B93885">
              <w:rPr>
                <w:rFonts w:ascii="Arial" w:hAnsi="Arial" w:cs="Arial"/>
                <w:sz w:val="22"/>
                <w:szCs w:val="22"/>
              </w:rPr>
              <w:t>em</w:t>
            </w:r>
            <w:r w:rsidR="0012601D">
              <w:rPr>
                <w:rFonts w:ascii="Arial" w:hAnsi="Arial" w:cs="Arial"/>
                <w:sz w:val="22"/>
                <w:szCs w:val="22"/>
              </w:rPr>
              <w:t xml:space="preserve"> z Działu fotografii 50,00 zł. w związku z błędnym przyjęciem daru</w:t>
            </w:r>
            <w:r w:rsidR="00B93885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AB7F92">
              <w:rPr>
                <w:rFonts w:ascii="Arial" w:hAnsi="Arial" w:cs="Arial"/>
                <w:sz w:val="22"/>
                <w:szCs w:val="22"/>
              </w:rPr>
              <w:t>2.295,00 zł. niedob</w:t>
            </w:r>
            <w:r w:rsidR="00E96D5E">
              <w:rPr>
                <w:rFonts w:ascii="Arial" w:hAnsi="Arial" w:cs="Arial"/>
                <w:sz w:val="22"/>
                <w:szCs w:val="22"/>
              </w:rPr>
              <w:t>o</w:t>
            </w:r>
            <w:r w:rsidR="00AB7F92">
              <w:rPr>
                <w:rFonts w:ascii="Arial" w:hAnsi="Arial" w:cs="Arial"/>
                <w:sz w:val="22"/>
                <w:szCs w:val="22"/>
              </w:rPr>
              <w:t>r</w:t>
            </w:r>
            <w:r w:rsidR="000D62B5">
              <w:rPr>
                <w:rFonts w:ascii="Arial" w:hAnsi="Arial" w:cs="Arial"/>
                <w:sz w:val="22"/>
                <w:szCs w:val="22"/>
              </w:rPr>
              <w:t>u</w:t>
            </w:r>
            <w:r w:rsidR="00AB7F92">
              <w:rPr>
                <w:rFonts w:ascii="Arial" w:hAnsi="Arial" w:cs="Arial"/>
                <w:sz w:val="22"/>
                <w:szCs w:val="22"/>
              </w:rPr>
              <w:t>, który jest wynikiem przeprowadzonej inwentaryzacji w Dziale Etnologii (</w:t>
            </w:r>
            <w:r w:rsidR="00AB7F92" w:rsidRPr="00AB7F92">
              <w:rPr>
                <w:rFonts w:ascii="Arial" w:hAnsi="Arial" w:cs="Arial"/>
                <w:sz w:val="16"/>
                <w:szCs w:val="16"/>
              </w:rPr>
              <w:t>zgłoszony Komendzie Miejskiej Policji w Tychach</w:t>
            </w:r>
            <w:r w:rsidR="00AB7F92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C0242" w:rsidRPr="005D2E54" w:rsidRDefault="00DC0242" w:rsidP="00AB7F92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D2E54" w:rsidRDefault="00155AE2" w:rsidP="00412EFE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D2E54">
              <w:rPr>
                <w:rFonts w:ascii="Arial" w:hAnsi="Arial" w:cs="Arial"/>
                <w:b/>
                <w:sz w:val="22"/>
                <w:szCs w:val="22"/>
              </w:rPr>
              <w:t>Inne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informacje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niż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wymienione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powyżej,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jeżeli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mogłyby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istotny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sposób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wpłynąć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ocenę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sytuacji</w:t>
            </w:r>
            <w:r w:rsidR="003600ED" w:rsidRPr="005D2E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2E54">
              <w:rPr>
                <w:rFonts w:ascii="Arial" w:hAnsi="Arial" w:cs="Arial"/>
                <w:b/>
                <w:sz w:val="22"/>
                <w:szCs w:val="22"/>
              </w:rPr>
              <w:t>majątkowej i finansowej oraz wynik finansowy jednostki</w:t>
            </w:r>
          </w:p>
        </w:tc>
      </w:tr>
      <w:tr w:rsidR="003D73EE" w:rsidRPr="005D2E54" w:rsidTr="00567987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3EE" w:rsidRPr="005D2E54" w:rsidRDefault="003D73EE" w:rsidP="00D8712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42" w:rsidRPr="005D2E54" w:rsidRDefault="00DC0242" w:rsidP="00D8712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D73EE" w:rsidRPr="005D2E54" w:rsidRDefault="003D73EE" w:rsidP="00D8712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D2E54">
              <w:rPr>
                <w:rFonts w:ascii="Arial" w:hAnsi="Arial"/>
                <w:sz w:val="22"/>
                <w:szCs w:val="22"/>
              </w:rPr>
              <w:t>Rozliczenie głównych pozycji podstaw opodatkowania podatkiem dochodowym od wyniku finansowego 20</w:t>
            </w:r>
            <w:r w:rsidR="0080455D" w:rsidRPr="005D2E54">
              <w:rPr>
                <w:rFonts w:ascii="Arial" w:hAnsi="Arial"/>
                <w:sz w:val="22"/>
                <w:szCs w:val="22"/>
              </w:rPr>
              <w:t>2</w:t>
            </w:r>
            <w:r w:rsidR="00AB1286" w:rsidRPr="005D2E54">
              <w:rPr>
                <w:rFonts w:ascii="Arial" w:hAnsi="Arial"/>
                <w:sz w:val="22"/>
                <w:szCs w:val="22"/>
              </w:rPr>
              <w:t>3</w:t>
            </w:r>
            <w:r w:rsidR="0080455D" w:rsidRPr="005D2E54">
              <w:rPr>
                <w:rFonts w:ascii="Arial" w:hAnsi="Arial"/>
                <w:sz w:val="22"/>
                <w:szCs w:val="22"/>
              </w:rPr>
              <w:t xml:space="preserve"> r.</w:t>
            </w:r>
          </w:p>
          <w:p w:rsidR="00B3133D" w:rsidRPr="005D2E54" w:rsidRDefault="00B3133D" w:rsidP="00D8712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tbl>
            <w:tblPr>
              <w:tblStyle w:val="Tabela-Siatka1"/>
              <w:tblW w:w="9209" w:type="dxa"/>
              <w:tblLayout w:type="fixed"/>
              <w:tblLook w:val="04A0"/>
            </w:tblPr>
            <w:tblGrid>
              <w:gridCol w:w="5524"/>
              <w:gridCol w:w="1769"/>
              <w:gridCol w:w="1916"/>
            </w:tblGrid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 xml:space="preserve">Przychody </w:t>
                  </w:r>
                  <w:proofErr w:type="spellStart"/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wg</w:t>
                  </w:r>
                  <w:proofErr w:type="spellEnd"/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 xml:space="preserve">. ksiąg będące podstawą opodatkowania </w:t>
                  </w:r>
                </w:p>
              </w:tc>
              <w:tc>
                <w:tcPr>
                  <w:tcW w:w="1769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916" w:type="dxa"/>
                </w:tcPr>
                <w:p w:rsidR="003D73EE" w:rsidRPr="005D2E54" w:rsidRDefault="004576BD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2.390.433,67</w:t>
                  </w: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Koszty uzyskania przychodu</w:t>
                  </w:r>
                </w:p>
              </w:tc>
              <w:tc>
                <w:tcPr>
                  <w:tcW w:w="1769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916" w:type="dxa"/>
                </w:tcPr>
                <w:p w:rsidR="003D73EE" w:rsidRPr="005D2E54" w:rsidRDefault="00B92C38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150.67</w:t>
                  </w:r>
                  <w:r w:rsidR="005269CD">
                    <w:rPr>
                      <w:rFonts w:ascii="Arial" w:hAnsi="Arial" w:cs="Arial"/>
                      <w:sz w:val="18"/>
                      <w:szCs w:val="18"/>
                    </w:rPr>
                    <w:t>9,97</w:t>
                  </w: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 xml:space="preserve">Koszty uzyskania przychodu </w:t>
                  </w:r>
                  <w:proofErr w:type="spellStart"/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wg</w:t>
                  </w:r>
                  <w:proofErr w:type="spellEnd"/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. ksiąg rachunkowych</w:t>
                  </w:r>
                </w:p>
              </w:tc>
              <w:tc>
                <w:tcPr>
                  <w:tcW w:w="1769" w:type="dxa"/>
                </w:tcPr>
                <w:p w:rsidR="0044655A" w:rsidRPr="005D2E54" w:rsidRDefault="004576BD" w:rsidP="004465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2.380.</w:t>
                  </w:r>
                  <w:r w:rsidR="0044655A">
                    <w:rPr>
                      <w:rFonts w:ascii="Arial" w:hAnsi="Arial" w:cs="Arial"/>
                      <w:sz w:val="18"/>
                      <w:szCs w:val="18"/>
                    </w:rPr>
                    <w:t>603,47</w:t>
                  </w:r>
                </w:p>
              </w:tc>
              <w:tc>
                <w:tcPr>
                  <w:tcW w:w="1916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Pomniejszenie o koszty finansowane z dotacji</w:t>
                  </w:r>
                </w:p>
              </w:tc>
              <w:tc>
                <w:tcPr>
                  <w:tcW w:w="1769" w:type="dxa"/>
                </w:tcPr>
                <w:p w:rsidR="008156CB" w:rsidRPr="005D2E54" w:rsidRDefault="00B92C38" w:rsidP="008156C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2.229.923,50</w:t>
                  </w:r>
                </w:p>
              </w:tc>
              <w:tc>
                <w:tcPr>
                  <w:tcW w:w="1916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Pomniejszenie o niewypłacone nagrody roczne</w:t>
                  </w:r>
                </w:p>
              </w:tc>
              <w:tc>
                <w:tcPr>
                  <w:tcW w:w="1769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16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Pomniejszenie o niezapłacone składki ZUS</w:t>
                  </w:r>
                </w:p>
              </w:tc>
              <w:tc>
                <w:tcPr>
                  <w:tcW w:w="1769" w:type="dxa"/>
                </w:tcPr>
                <w:p w:rsidR="003D73EE" w:rsidRPr="005D2E54" w:rsidRDefault="00567987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16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D2E54" w:rsidRPr="005D2E54" w:rsidTr="00B826B9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3D73EE" w:rsidRPr="005D2E54" w:rsidRDefault="003D73EE" w:rsidP="00D8712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Dochód</w:t>
                  </w:r>
                </w:p>
              </w:tc>
              <w:tc>
                <w:tcPr>
                  <w:tcW w:w="1769" w:type="dxa"/>
                </w:tcPr>
                <w:p w:rsidR="003D73EE" w:rsidRPr="005D2E54" w:rsidRDefault="003D73EE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6" w:type="dxa"/>
                </w:tcPr>
                <w:p w:rsidR="003D73EE" w:rsidRPr="005D2E54" w:rsidRDefault="00B92C38" w:rsidP="00D8712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5D2E54">
                    <w:rPr>
                      <w:rFonts w:ascii="Arial" w:hAnsi="Arial" w:cs="Arial"/>
                      <w:sz w:val="18"/>
                      <w:szCs w:val="18"/>
                    </w:rPr>
                    <w:t>2.239.75</w:t>
                  </w:r>
                  <w:r w:rsidR="00ED38C2">
                    <w:rPr>
                      <w:rFonts w:ascii="Arial" w:hAnsi="Arial" w:cs="Arial"/>
                      <w:sz w:val="18"/>
                      <w:szCs w:val="18"/>
                    </w:rPr>
                    <w:t>3,70</w:t>
                  </w:r>
                </w:p>
              </w:tc>
            </w:tr>
          </w:tbl>
          <w:p w:rsidR="003D73EE" w:rsidRPr="005D2E54" w:rsidRDefault="003D73EE" w:rsidP="00D87124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C0C" w:rsidRPr="005D2E54" w:rsidRDefault="00044C0C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750840" w:rsidRDefault="00750840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750840" w:rsidRPr="00454137" w:rsidRDefault="00D87124" w:rsidP="00E579F1">
      <w:pPr>
        <w:pStyle w:val="Standard"/>
        <w:widowControl w:val="0"/>
        <w:spacing w:line="360" w:lineRule="auto"/>
        <w:rPr>
          <w:rFonts w:ascii="Arial" w:hAnsi="Arial" w:cs="Arial"/>
          <w:sz w:val="16"/>
          <w:szCs w:val="16"/>
        </w:rPr>
      </w:pPr>
      <w:r w:rsidRPr="00454137">
        <w:rPr>
          <w:rFonts w:ascii="Arial" w:hAnsi="Arial" w:cs="Arial"/>
          <w:sz w:val="16"/>
          <w:szCs w:val="16"/>
        </w:rPr>
        <w:t xml:space="preserve">          </w:t>
      </w:r>
      <w:r w:rsidR="00454137">
        <w:rPr>
          <w:rFonts w:ascii="Arial" w:hAnsi="Arial" w:cs="Arial"/>
          <w:sz w:val="16"/>
          <w:szCs w:val="16"/>
        </w:rPr>
        <w:t xml:space="preserve">        </w:t>
      </w:r>
      <w:r w:rsidRPr="00454137">
        <w:rPr>
          <w:rFonts w:ascii="Arial" w:hAnsi="Arial" w:cs="Arial"/>
          <w:sz w:val="16"/>
          <w:szCs w:val="16"/>
        </w:rPr>
        <w:t xml:space="preserve">       Agnieszka </w:t>
      </w:r>
      <w:proofErr w:type="spellStart"/>
      <w:r w:rsidRPr="00454137">
        <w:rPr>
          <w:rFonts w:ascii="Arial" w:hAnsi="Arial" w:cs="Arial"/>
          <w:sz w:val="16"/>
          <w:szCs w:val="16"/>
        </w:rPr>
        <w:t>Mrzyczek</w:t>
      </w:r>
      <w:proofErr w:type="spellEnd"/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</w:r>
      <w:r w:rsidR="00454137" w:rsidRPr="00454137">
        <w:rPr>
          <w:rFonts w:ascii="Arial" w:hAnsi="Arial" w:cs="Arial"/>
          <w:sz w:val="16"/>
          <w:szCs w:val="16"/>
        </w:rPr>
        <w:tab/>
        <w:t xml:space="preserve">       </w:t>
      </w:r>
      <w:r w:rsidR="00454137">
        <w:rPr>
          <w:rFonts w:ascii="Arial" w:hAnsi="Arial" w:cs="Arial"/>
          <w:sz w:val="16"/>
          <w:szCs w:val="16"/>
        </w:rPr>
        <w:t xml:space="preserve">   </w:t>
      </w:r>
      <w:r w:rsidR="00454137" w:rsidRPr="00454137">
        <w:rPr>
          <w:rFonts w:ascii="Arial" w:hAnsi="Arial" w:cs="Arial"/>
          <w:sz w:val="16"/>
          <w:szCs w:val="16"/>
        </w:rPr>
        <w:t xml:space="preserve">   Dagmara </w:t>
      </w:r>
      <w:proofErr w:type="spellStart"/>
      <w:r w:rsidR="00454137" w:rsidRPr="00454137">
        <w:rPr>
          <w:rFonts w:ascii="Arial" w:hAnsi="Arial" w:cs="Arial"/>
          <w:sz w:val="16"/>
          <w:szCs w:val="16"/>
        </w:rPr>
        <w:t>Gawryszek</w:t>
      </w:r>
      <w:proofErr w:type="spellEnd"/>
    </w:p>
    <w:tbl>
      <w:tblPr>
        <w:tblW w:w="97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3"/>
        <w:gridCol w:w="3890"/>
        <w:gridCol w:w="2866"/>
      </w:tblGrid>
      <w:tr w:rsidR="00235946" w:rsidTr="00D87124">
        <w:trPr>
          <w:trHeight w:hRule="exact" w:val="280"/>
          <w:jc w:val="center"/>
        </w:trPr>
        <w:tc>
          <w:tcPr>
            <w:tcW w:w="2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Default="00235946" w:rsidP="00D87124">
            <w:pPr>
              <w:pStyle w:val="Standard"/>
              <w:widowControl w:val="0"/>
              <w:spacing w:line="360" w:lineRule="auto"/>
              <w:ind w:left="40" w:right="23"/>
              <w:jc w:val="center"/>
            </w:pPr>
            <w:r>
              <w:rPr>
                <w:rFonts w:ascii="Arial" w:hAnsi="Arial" w:cs="Arial"/>
                <w:color w:val="2E2014"/>
                <w:position w:val="-1"/>
                <w:sz w:val="22"/>
                <w:szCs w:val="22"/>
              </w:rPr>
              <w:t>..........................................</w:t>
            </w:r>
          </w:p>
        </w:tc>
        <w:tc>
          <w:tcPr>
            <w:tcW w:w="38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Pr="00DC0242" w:rsidRDefault="008F321A" w:rsidP="00D87124">
            <w:pPr>
              <w:pStyle w:val="Standard"/>
              <w:widowControl w:val="0"/>
              <w:spacing w:line="360" w:lineRule="auto"/>
              <w:ind w:left="119" w:right="81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2E2014"/>
                <w:position w:val="-1"/>
                <w:sz w:val="18"/>
                <w:szCs w:val="18"/>
              </w:rPr>
              <w:t>2</w:t>
            </w:r>
            <w:r w:rsidR="00322C3C">
              <w:rPr>
                <w:rFonts w:ascii="Arial" w:hAnsi="Arial" w:cs="Arial"/>
                <w:color w:val="2E2014"/>
                <w:position w:val="-1"/>
                <w:sz w:val="18"/>
                <w:szCs w:val="18"/>
              </w:rPr>
              <w:t>7</w:t>
            </w:r>
            <w:r w:rsidR="00567987" w:rsidRPr="00DC0242">
              <w:rPr>
                <w:rFonts w:ascii="Arial" w:hAnsi="Arial" w:cs="Arial"/>
                <w:color w:val="2E2014"/>
                <w:position w:val="-1"/>
                <w:sz w:val="18"/>
                <w:szCs w:val="18"/>
              </w:rPr>
              <w:t>-03</w:t>
            </w:r>
            <w:r w:rsidR="00235946" w:rsidRPr="00DC0242">
              <w:rPr>
                <w:rFonts w:ascii="Arial" w:hAnsi="Arial" w:cs="Arial"/>
                <w:color w:val="2E2014"/>
                <w:position w:val="-1"/>
                <w:sz w:val="18"/>
                <w:szCs w:val="18"/>
              </w:rPr>
              <w:t>-202</w:t>
            </w:r>
            <w:r w:rsidR="004E39A5">
              <w:rPr>
                <w:rFonts w:ascii="Arial" w:hAnsi="Arial" w:cs="Arial"/>
                <w:color w:val="2E2014"/>
                <w:position w:val="-1"/>
                <w:sz w:val="18"/>
                <w:szCs w:val="18"/>
              </w:rPr>
              <w:t>4</w:t>
            </w:r>
          </w:p>
        </w:tc>
        <w:tc>
          <w:tcPr>
            <w:tcW w:w="28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Default="00235946" w:rsidP="00D87124">
            <w:pPr>
              <w:pStyle w:val="Standard"/>
              <w:widowControl w:val="0"/>
              <w:spacing w:line="360" w:lineRule="auto"/>
              <w:ind w:left="61" w:right="111"/>
              <w:jc w:val="center"/>
            </w:pPr>
            <w:r>
              <w:rPr>
                <w:rFonts w:ascii="Arial" w:hAnsi="Arial" w:cs="Arial"/>
                <w:color w:val="2E2014"/>
                <w:position w:val="-1"/>
                <w:sz w:val="22"/>
                <w:szCs w:val="22"/>
              </w:rPr>
              <w:t>..........................................</w:t>
            </w:r>
          </w:p>
        </w:tc>
      </w:tr>
      <w:tr w:rsidR="00235946" w:rsidTr="00D87124">
        <w:trPr>
          <w:trHeight w:hRule="exact" w:val="524"/>
          <w:jc w:val="center"/>
        </w:trPr>
        <w:tc>
          <w:tcPr>
            <w:tcW w:w="2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Default="00235946" w:rsidP="00D87124">
            <w:pPr>
              <w:pStyle w:val="Standard"/>
              <w:widowControl w:val="0"/>
              <w:spacing w:line="360" w:lineRule="auto"/>
              <w:ind w:left="40" w:right="23"/>
              <w:jc w:val="center"/>
              <w:rPr>
                <w:rFonts w:ascii="Arial" w:hAnsi="Arial" w:cs="Arial"/>
                <w:color w:val="2E2014"/>
                <w:sz w:val="16"/>
                <w:szCs w:val="16"/>
              </w:rPr>
            </w:pPr>
            <w:r>
              <w:rPr>
                <w:rFonts w:ascii="Arial" w:hAnsi="Arial" w:cs="Arial"/>
                <w:color w:val="2E2014"/>
                <w:sz w:val="16"/>
                <w:szCs w:val="16"/>
              </w:rPr>
              <w:t xml:space="preserve">Główny </w:t>
            </w:r>
            <w:r w:rsidR="00C30D86">
              <w:rPr>
                <w:rFonts w:ascii="Arial" w:hAnsi="Arial" w:cs="Arial"/>
                <w:color w:val="2E2014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2E2014"/>
                <w:sz w:val="16"/>
                <w:szCs w:val="16"/>
              </w:rPr>
              <w:t>sięgowy Centrum Usług Wspólnych Miasta Tychy</w:t>
            </w:r>
          </w:p>
          <w:p w:rsidR="00235946" w:rsidRDefault="00235946" w:rsidP="00D87124">
            <w:pPr>
              <w:pStyle w:val="Standard"/>
              <w:widowControl w:val="0"/>
              <w:spacing w:line="360" w:lineRule="auto"/>
              <w:ind w:left="4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Default="00235946" w:rsidP="00D87124">
            <w:pPr>
              <w:pStyle w:val="Standard"/>
              <w:widowControl w:val="0"/>
              <w:spacing w:line="360" w:lineRule="auto"/>
              <w:ind w:left="119" w:right="81"/>
              <w:jc w:val="center"/>
            </w:pPr>
            <w:r>
              <w:rPr>
                <w:rFonts w:ascii="Arial" w:hAnsi="Arial" w:cs="Arial"/>
                <w:color w:val="2E2014"/>
                <w:sz w:val="16"/>
                <w:szCs w:val="16"/>
              </w:rPr>
              <w:t>(data)</w:t>
            </w:r>
          </w:p>
        </w:tc>
        <w:tc>
          <w:tcPr>
            <w:tcW w:w="28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946" w:rsidRDefault="00235946" w:rsidP="00D87124">
            <w:pPr>
              <w:pStyle w:val="Standard"/>
              <w:widowControl w:val="0"/>
              <w:spacing w:line="360" w:lineRule="auto"/>
              <w:ind w:left="61" w:right="111"/>
              <w:jc w:val="center"/>
            </w:pPr>
            <w:r>
              <w:rPr>
                <w:rFonts w:ascii="Arial" w:hAnsi="Arial" w:cs="Arial"/>
                <w:color w:val="2E2014"/>
                <w:sz w:val="16"/>
                <w:szCs w:val="16"/>
              </w:rPr>
              <w:t>Dyrektor Centrum Usług Wspólnych Miasta Tychy</w:t>
            </w:r>
          </w:p>
        </w:tc>
      </w:tr>
    </w:tbl>
    <w:p w:rsidR="00235946" w:rsidRDefault="00235946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sectPr w:rsidR="00235946" w:rsidSect="0051332F">
      <w:pgSz w:w="11920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2F" w:rsidRDefault="0051332F">
      <w:r>
        <w:separator/>
      </w:r>
    </w:p>
  </w:endnote>
  <w:endnote w:type="continuationSeparator" w:id="0">
    <w:p w:rsidR="0051332F" w:rsidRDefault="0051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2F" w:rsidRDefault="0051332F">
      <w:r>
        <w:rPr>
          <w:color w:val="000000"/>
        </w:rPr>
        <w:separator/>
      </w:r>
    </w:p>
  </w:footnote>
  <w:footnote w:type="continuationSeparator" w:id="0">
    <w:p w:rsidR="0051332F" w:rsidRDefault="00513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471"/>
    <w:multiLevelType w:val="hybridMultilevel"/>
    <w:tmpl w:val="CCB86984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EE4AFF"/>
    <w:multiLevelType w:val="hybridMultilevel"/>
    <w:tmpl w:val="CE6ECAC2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8E451A"/>
    <w:multiLevelType w:val="hybridMultilevel"/>
    <w:tmpl w:val="7AF81198"/>
    <w:lvl w:ilvl="0" w:tplc="5FF0DA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C0C"/>
    <w:rsid w:val="00003E08"/>
    <w:rsid w:val="00005D20"/>
    <w:rsid w:val="00014477"/>
    <w:rsid w:val="00027B78"/>
    <w:rsid w:val="00034C05"/>
    <w:rsid w:val="00041822"/>
    <w:rsid w:val="00044C0C"/>
    <w:rsid w:val="0005787F"/>
    <w:rsid w:val="000610FE"/>
    <w:rsid w:val="000622E0"/>
    <w:rsid w:val="00063738"/>
    <w:rsid w:val="00066243"/>
    <w:rsid w:val="000703C4"/>
    <w:rsid w:val="0008338C"/>
    <w:rsid w:val="000A0A4C"/>
    <w:rsid w:val="000A51C5"/>
    <w:rsid w:val="000A61E4"/>
    <w:rsid w:val="000B3990"/>
    <w:rsid w:val="000C309F"/>
    <w:rsid w:val="000C4B9A"/>
    <w:rsid w:val="000D62B5"/>
    <w:rsid w:val="000D662B"/>
    <w:rsid w:val="000E1285"/>
    <w:rsid w:val="000E686F"/>
    <w:rsid w:val="000E714E"/>
    <w:rsid w:val="000F10C5"/>
    <w:rsid w:val="000F35EA"/>
    <w:rsid w:val="000F5160"/>
    <w:rsid w:val="00113371"/>
    <w:rsid w:val="00116A36"/>
    <w:rsid w:val="00116A96"/>
    <w:rsid w:val="00125C59"/>
    <w:rsid w:val="0012601D"/>
    <w:rsid w:val="00135C35"/>
    <w:rsid w:val="00155AE2"/>
    <w:rsid w:val="00162B52"/>
    <w:rsid w:val="0017410F"/>
    <w:rsid w:val="001852AF"/>
    <w:rsid w:val="00191257"/>
    <w:rsid w:val="001A2CAA"/>
    <w:rsid w:val="001A2D22"/>
    <w:rsid w:val="001A55A3"/>
    <w:rsid w:val="001A7101"/>
    <w:rsid w:val="001C4FD2"/>
    <w:rsid w:val="001C5EB6"/>
    <w:rsid w:val="00210D04"/>
    <w:rsid w:val="00213E25"/>
    <w:rsid w:val="0021591B"/>
    <w:rsid w:val="00232033"/>
    <w:rsid w:val="00235946"/>
    <w:rsid w:val="00246B55"/>
    <w:rsid w:val="00261AC5"/>
    <w:rsid w:val="0026395C"/>
    <w:rsid w:val="00267275"/>
    <w:rsid w:val="00276C28"/>
    <w:rsid w:val="00280466"/>
    <w:rsid w:val="002835BD"/>
    <w:rsid w:val="00284FC3"/>
    <w:rsid w:val="00286CA7"/>
    <w:rsid w:val="0029095A"/>
    <w:rsid w:val="002945EE"/>
    <w:rsid w:val="002B22A6"/>
    <w:rsid w:val="002C69B6"/>
    <w:rsid w:val="002D6D64"/>
    <w:rsid w:val="002D7F42"/>
    <w:rsid w:val="002E1A10"/>
    <w:rsid w:val="002F01F9"/>
    <w:rsid w:val="003129D8"/>
    <w:rsid w:val="00314A26"/>
    <w:rsid w:val="00322C3C"/>
    <w:rsid w:val="00323317"/>
    <w:rsid w:val="003369F8"/>
    <w:rsid w:val="0033748F"/>
    <w:rsid w:val="00343C61"/>
    <w:rsid w:val="00344211"/>
    <w:rsid w:val="00345374"/>
    <w:rsid w:val="00347D92"/>
    <w:rsid w:val="003600ED"/>
    <w:rsid w:val="003704F6"/>
    <w:rsid w:val="00370D5D"/>
    <w:rsid w:val="00372BEB"/>
    <w:rsid w:val="00374B2D"/>
    <w:rsid w:val="00376E6D"/>
    <w:rsid w:val="0038283B"/>
    <w:rsid w:val="00385456"/>
    <w:rsid w:val="003945C7"/>
    <w:rsid w:val="00394A52"/>
    <w:rsid w:val="003A30BC"/>
    <w:rsid w:val="003A4F7A"/>
    <w:rsid w:val="003A5E7F"/>
    <w:rsid w:val="003A7BDF"/>
    <w:rsid w:val="003B5F12"/>
    <w:rsid w:val="003C66EA"/>
    <w:rsid w:val="003D260D"/>
    <w:rsid w:val="003D3E78"/>
    <w:rsid w:val="003D73EE"/>
    <w:rsid w:val="003E5BDF"/>
    <w:rsid w:val="003F4881"/>
    <w:rsid w:val="003F77DD"/>
    <w:rsid w:val="00412EFE"/>
    <w:rsid w:val="00415B59"/>
    <w:rsid w:val="00421FAA"/>
    <w:rsid w:val="00434577"/>
    <w:rsid w:val="00434AF7"/>
    <w:rsid w:val="00435F48"/>
    <w:rsid w:val="0044655A"/>
    <w:rsid w:val="00454137"/>
    <w:rsid w:val="00454AE7"/>
    <w:rsid w:val="00454D00"/>
    <w:rsid w:val="004576BD"/>
    <w:rsid w:val="00464323"/>
    <w:rsid w:val="004649AC"/>
    <w:rsid w:val="00466C74"/>
    <w:rsid w:val="00483D98"/>
    <w:rsid w:val="00486BD4"/>
    <w:rsid w:val="004903A6"/>
    <w:rsid w:val="004B6978"/>
    <w:rsid w:val="004B7BED"/>
    <w:rsid w:val="004C1929"/>
    <w:rsid w:val="004C1D85"/>
    <w:rsid w:val="004C4649"/>
    <w:rsid w:val="004D02E8"/>
    <w:rsid w:val="004E1C50"/>
    <w:rsid w:val="004E39A5"/>
    <w:rsid w:val="004E610F"/>
    <w:rsid w:val="004F07D0"/>
    <w:rsid w:val="004F61EC"/>
    <w:rsid w:val="0051332F"/>
    <w:rsid w:val="00513C09"/>
    <w:rsid w:val="00516633"/>
    <w:rsid w:val="005269CD"/>
    <w:rsid w:val="00526AA8"/>
    <w:rsid w:val="005355DE"/>
    <w:rsid w:val="00535ABB"/>
    <w:rsid w:val="00540AC1"/>
    <w:rsid w:val="00554EDE"/>
    <w:rsid w:val="00561C0B"/>
    <w:rsid w:val="00567987"/>
    <w:rsid w:val="00572B83"/>
    <w:rsid w:val="00576E01"/>
    <w:rsid w:val="0058598D"/>
    <w:rsid w:val="00590AA6"/>
    <w:rsid w:val="00594562"/>
    <w:rsid w:val="00594C9F"/>
    <w:rsid w:val="005B2B11"/>
    <w:rsid w:val="005C0549"/>
    <w:rsid w:val="005C59A4"/>
    <w:rsid w:val="005D2E54"/>
    <w:rsid w:val="005E37CF"/>
    <w:rsid w:val="00601321"/>
    <w:rsid w:val="006063D8"/>
    <w:rsid w:val="00607F45"/>
    <w:rsid w:val="00611EBF"/>
    <w:rsid w:val="006255A7"/>
    <w:rsid w:val="0062570D"/>
    <w:rsid w:val="00625ECE"/>
    <w:rsid w:val="006314B5"/>
    <w:rsid w:val="006351AC"/>
    <w:rsid w:val="00637D87"/>
    <w:rsid w:val="006546F0"/>
    <w:rsid w:val="0066141B"/>
    <w:rsid w:val="00662E90"/>
    <w:rsid w:val="00663CC8"/>
    <w:rsid w:val="006B4336"/>
    <w:rsid w:val="006B5D76"/>
    <w:rsid w:val="006C6C94"/>
    <w:rsid w:val="006D1DC1"/>
    <w:rsid w:val="006D5101"/>
    <w:rsid w:val="006E398D"/>
    <w:rsid w:val="006F0B4F"/>
    <w:rsid w:val="006F665F"/>
    <w:rsid w:val="006F7315"/>
    <w:rsid w:val="007008E6"/>
    <w:rsid w:val="00705809"/>
    <w:rsid w:val="00710F85"/>
    <w:rsid w:val="007114DE"/>
    <w:rsid w:val="007152F8"/>
    <w:rsid w:val="007229D4"/>
    <w:rsid w:val="00733EE4"/>
    <w:rsid w:val="00736F0A"/>
    <w:rsid w:val="00743E30"/>
    <w:rsid w:val="00743F69"/>
    <w:rsid w:val="00750198"/>
    <w:rsid w:val="00750840"/>
    <w:rsid w:val="00750FCA"/>
    <w:rsid w:val="00753744"/>
    <w:rsid w:val="007618E2"/>
    <w:rsid w:val="00764CD2"/>
    <w:rsid w:val="00764E8D"/>
    <w:rsid w:val="007710AC"/>
    <w:rsid w:val="00772D25"/>
    <w:rsid w:val="00772D2D"/>
    <w:rsid w:val="00782FF7"/>
    <w:rsid w:val="00785D5A"/>
    <w:rsid w:val="0079097E"/>
    <w:rsid w:val="007A4DCD"/>
    <w:rsid w:val="007B175A"/>
    <w:rsid w:val="007B43F7"/>
    <w:rsid w:val="007D0535"/>
    <w:rsid w:val="007D4294"/>
    <w:rsid w:val="007E2A16"/>
    <w:rsid w:val="007E5297"/>
    <w:rsid w:val="0080455D"/>
    <w:rsid w:val="008156CB"/>
    <w:rsid w:val="00820C89"/>
    <w:rsid w:val="00822276"/>
    <w:rsid w:val="00831AAD"/>
    <w:rsid w:val="0083421D"/>
    <w:rsid w:val="0084194E"/>
    <w:rsid w:val="008515CC"/>
    <w:rsid w:val="00855C13"/>
    <w:rsid w:val="00861045"/>
    <w:rsid w:val="00867503"/>
    <w:rsid w:val="00891135"/>
    <w:rsid w:val="0089350D"/>
    <w:rsid w:val="008A0708"/>
    <w:rsid w:val="008A50FE"/>
    <w:rsid w:val="008B396E"/>
    <w:rsid w:val="008D42B6"/>
    <w:rsid w:val="008E22A5"/>
    <w:rsid w:val="008E37B1"/>
    <w:rsid w:val="008F321A"/>
    <w:rsid w:val="008F5B2D"/>
    <w:rsid w:val="0090382D"/>
    <w:rsid w:val="00904780"/>
    <w:rsid w:val="00905DED"/>
    <w:rsid w:val="0093109B"/>
    <w:rsid w:val="009336A1"/>
    <w:rsid w:val="00944A22"/>
    <w:rsid w:val="00946C94"/>
    <w:rsid w:val="00962105"/>
    <w:rsid w:val="00970AF1"/>
    <w:rsid w:val="009767BF"/>
    <w:rsid w:val="00985A8A"/>
    <w:rsid w:val="009866AE"/>
    <w:rsid w:val="009A04F8"/>
    <w:rsid w:val="009A1B0A"/>
    <w:rsid w:val="009A38F7"/>
    <w:rsid w:val="009B0FD6"/>
    <w:rsid w:val="009B6C6E"/>
    <w:rsid w:val="009C4083"/>
    <w:rsid w:val="009C63A9"/>
    <w:rsid w:val="009D2B4D"/>
    <w:rsid w:val="009D77F5"/>
    <w:rsid w:val="009E26D7"/>
    <w:rsid w:val="009F21F6"/>
    <w:rsid w:val="00A048EC"/>
    <w:rsid w:val="00A21FA8"/>
    <w:rsid w:val="00A324D6"/>
    <w:rsid w:val="00A37FFD"/>
    <w:rsid w:val="00A418E9"/>
    <w:rsid w:val="00A42C9E"/>
    <w:rsid w:val="00A47213"/>
    <w:rsid w:val="00A52427"/>
    <w:rsid w:val="00A55B4B"/>
    <w:rsid w:val="00A65272"/>
    <w:rsid w:val="00A70B34"/>
    <w:rsid w:val="00A73684"/>
    <w:rsid w:val="00A87FCE"/>
    <w:rsid w:val="00A931CA"/>
    <w:rsid w:val="00AB1286"/>
    <w:rsid w:val="00AB41D0"/>
    <w:rsid w:val="00AB61EB"/>
    <w:rsid w:val="00AB75FB"/>
    <w:rsid w:val="00AB7F92"/>
    <w:rsid w:val="00AD18AF"/>
    <w:rsid w:val="00AF04E2"/>
    <w:rsid w:val="00AF1C12"/>
    <w:rsid w:val="00AF3543"/>
    <w:rsid w:val="00B05F32"/>
    <w:rsid w:val="00B11FE4"/>
    <w:rsid w:val="00B13C73"/>
    <w:rsid w:val="00B144A5"/>
    <w:rsid w:val="00B30E6A"/>
    <w:rsid w:val="00B3133D"/>
    <w:rsid w:val="00B34249"/>
    <w:rsid w:val="00B37EC9"/>
    <w:rsid w:val="00B433FD"/>
    <w:rsid w:val="00B460DD"/>
    <w:rsid w:val="00B50354"/>
    <w:rsid w:val="00B61674"/>
    <w:rsid w:val="00B70F27"/>
    <w:rsid w:val="00B81309"/>
    <w:rsid w:val="00B82135"/>
    <w:rsid w:val="00B826B9"/>
    <w:rsid w:val="00B90F7E"/>
    <w:rsid w:val="00B91040"/>
    <w:rsid w:val="00B92C38"/>
    <w:rsid w:val="00B93885"/>
    <w:rsid w:val="00B96478"/>
    <w:rsid w:val="00B96F22"/>
    <w:rsid w:val="00BA005F"/>
    <w:rsid w:val="00BC6246"/>
    <w:rsid w:val="00BD5468"/>
    <w:rsid w:val="00BD5C04"/>
    <w:rsid w:val="00C017F2"/>
    <w:rsid w:val="00C0281B"/>
    <w:rsid w:val="00C15B28"/>
    <w:rsid w:val="00C17CDF"/>
    <w:rsid w:val="00C30D86"/>
    <w:rsid w:val="00C4030E"/>
    <w:rsid w:val="00C41424"/>
    <w:rsid w:val="00C41D4C"/>
    <w:rsid w:val="00C5091C"/>
    <w:rsid w:val="00C57E36"/>
    <w:rsid w:val="00C60A19"/>
    <w:rsid w:val="00C64F2F"/>
    <w:rsid w:val="00C64F5D"/>
    <w:rsid w:val="00C66542"/>
    <w:rsid w:val="00C7131E"/>
    <w:rsid w:val="00C84F6F"/>
    <w:rsid w:val="00CA0E1B"/>
    <w:rsid w:val="00CA4EEA"/>
    <w:rsid w:val="00CB6143"/>
    <w:rsid w:val="00CC21C3"/>
    <w:rsid w:val="00CC58B8"/>
    <w:rsid w:val="00CD433E"/>
    <w:rsid w:val="00CD5593"/>
    <w:rsid w:val="00CD72D3"/>
    <w:rsid w:val="00CE1D4B"/>
    <w:rsid w:val="00CE476C"/>
    <w:rsid w:val="00CF4B9D"/>
    <w:rsid w:val="00CF7444"/>
    <w:rsid w:val="00D0089F"/>
    <w:rsid w:val="00D010BB"/>
    <w:rsid w:val="00D0171A"/>
    <w:rsid w:val="00D07D26"/>
    <w:rsid w:val="00D14455"/>
    <w:rsid w:val="00D20C02"/>
    <w:rsid w:val="00D27C1E"/>
    <w:rsid w:val="00D46FFE"/>
    <w:rsid w:val="00D61959"/>
    <w:rsid w:val="00D63FDF"/>
    <w:rsid w:val="00D663A6"/>
    <w:rsid w:val="00D665B2"/>
    <w:rsid w:val="00D66F25"/>
    <w:rsid w:val="00D8441A"/>
    <w:rsid w:val="00D84724"/>
    <w:rsid w:val="00D859CC"/>
    <w:rsid w:val="00D87124"/>
    <w:rsid w:val="00D9304E"/>
    <w:rsid w:val="00DA05C4"/>
    <w:rsid w:val="00DA0980"/>
    <w:rsid w:val="00DB2E21"/>
    <w:rsid w:val="00DC0242"/>
    <w:rsid w:val="00DC3F0A"/>
    <w:rsid w:val="00DC4F2A"/>
    <w:rsid w:val="00DD252A"/>
    <w:rsid w:val="00DE093A"/>
    <w:rsid w:val="00E00BC6"/>
    <w:rsid w:val="00E120E0"/>
    <w:rsid w:val="00E12DDC"/>
    <w:rsid w:val="00E26052"/>
    <w:rsid w:val="00E334BB"/>
    <w:rsid w:val="00E36881"/>
    <w:rsid w:val="00E52E55"/>
    <w:rsid w:val="00E55455"/>
    <w:rsid w:val="00E579F1"/>
    <w:rsid w:val="00E96D5E"/>
    <w:rsid w:val="00EA2640"/>
    <w:rsid w:val="00EA2F95"/>
    <w:rsid w:val="00EA6533"/>
    <w:rsid w:val="00EB099A"/>
    <w:rsid w:val="00EB6285"/>
    <w:rsid w:val="00EC304A"/>
    <w:rsid w:val="00ED38C2"/>
    <w:rsid w:val="00EE6B39"/>
    <w:rsid w:val="00EF194D"/>
    <w:rsid w:val="00F02325"/>
    <w:rsid w:val="00F04692"/>
    <w:rsid w:val="00F15135"/>
    <w:rsid w:val="00F20CE9"/>
    <w:rsid w:val="00F3333E"/>
    <w:rsid w:val="00F36BAA"/>
    <w:rsid w:val="00F4220D"/>
    <w:rsid w:val="00F42590"/>
    <w:rsid w:val="00F50651"/>
    <w:rsid w:val="00F65FE6"/>
    <w:rsid w:val="00F876D6"/>
    <w:rsid w:val="00F93D69"/>
    <w:rsid w:val="00F97071"/>
    <w:rsid w:val="00F97ABA"/>
    <w:rsid w:val="00FA2D73"/>
    <w:rsid w:val="00FA7507"/>
    <w:rsid w:val="00FB2E7D"/>
    <w:rsid w:val="00FD3AF9"/>
    <w:rsid w:val="00FE2CC9"/>
    <w:rsid w:val="00FE6D1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6243"/>
    <w:pPr>
      <w:suppressAutoHyphens/>
    </w:pPr>
  </w:style>
  <w:style w:type="paragraph" w:styleId="Nagwek7">
    <w:name w:val="heading 7"/>
    <w:basedOn w:val="Normalny"/>
    <w:next w:val="Normalny"/>
    <w:rsid w:val="00066243"/>
    <w:pPr>
      <w:keepNext/>
      <w:widowControl/>
      <w:suppressAutoHyphens w:val="0"/>
      <w:spacing w:line="360" w:lineRule="auto"/>
      <w:jc w:val="both"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6243"/>
    <w:pPr>
      <w:widowControl/>
      <w:suppressAutoHyphens/>
      <w:textAlignment w:val="auto"/>
    </w:pPr>
    <w:rPr>
      <w:rFonts w:ascii="Times New Roman" w:eastAsia="Times New Roman" w:hAnsi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0662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66243"/>
    <w:pPr>
      <w:spacing w:after="140" w:line="276" w:lineRule="auto"/>
    </w:pPr>
  </w:style>
  <w:style w:type="paragraph" w:styleId="Lista">
    <w:name w:val="List"/>
    <w:basedOn w:val="Textbody"/>
    <w:rsid w:val="00066243"/>
    <w:rPr>
      <w:rFonts w:cs="Arial"/>
    </w:rPr>
  </w:style>
  <w:style w:type="paragraph" w:styleId="Legenda">
    <w:name w:val="caption"/>
    <w:basedOn w:val="Standard"/>
    <w:rsid w:val="0006624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66243"/>
    <w:pPr>
      <w:suppressLineNumbers/>
    </w:pPr>
    <w:rPr>
      <w:rFonts w:cs="Arial"/>
    </w:rPr>
  </w:style>
  <w:style w:type="paragraph" w:customStyle="1" w:styleId="DocumentMap">
    <w:name w:val="DocumentMap"/>
    <w:rsid w:val="00066243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rsid w:val="00066243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7Znak">
    <w:name w:val="Nagłówek 7 Znak"/>
    <w:basedOn w:val="Domylnaczcionkaakapitu"/>
    <w:rsid w:val="00066243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TableContents">
    <w:name w:val="Table Contents"/>
    <w:basedOn w:val="Standard"/>
    <w:rsid w:val="00066243"/>
    <w:pPr>
      <w:suppressLineNumbers/>
      <w:textAlignment w:val="baseline"/>
    </w:pPr>
    <w:rPr>
      <w:rFonts w:ascii="Liberation Serif" w:eastAsia="SimSun" w:hAnsi="Liberation Serif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54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5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42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A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3D73E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0">
    <w:name w:val="standard"/>
    <w:basedOn w:val="Normalny"/>
    <w:rsid w:val="00003E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6D1D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1D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slawodnagra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88D6-15C1-472E-9732-BD14200C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Microsoft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ilukaszek</cp:lastModifiedBy>
  <cp:revision>2</cp:revision>
  <cp:lastPrinted>2021-03-09T09:24:00Z</cp:lastPrinted>
  <dcterms:created xsi:type="dcterms:W3CDTF">2024-04-04T07:07:00Z</dcterms:created>
  <dcterms:modified xsi:type="dcterms:W3CDTF">2024-04-04T07:07:00Z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Wydawnictwo Podatkowe GOFIN sp. z o.o.</vt:lpwstr>
  </property>
  <property fmtid="{D5CDD505-2E9C-101B-9397-08002B2CF9AE}" pid="3" name="Operator">
    <vt:lpwstr>k.adamus</vt:lpwstr>
  </property>
</Properties>
</file>