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63" w:rsidRPr="00D44F63" w:rsidRDefault="00D44F63" w:rsidP="00D44F63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 xml:space="preserve">Załącznik Nr </w:t>
      </w:r>
      <w:r>
        <w:rPr>
          <w:rFonts w:ascii="Arial" w:hAnsi="Arial" w:cs="Arial"/>
          <w:b/>
          <w:color w:val="2E2014"/>
          <w:sz w:val="12"/>
          <w:szCs w:val="12"/>
        </w:rPr>
        <w:t>3</w:t>
      </w:r>
    </w:p>
    <w:p w:rsidR="009164A5" w:rsidRPr="00D44F63" w:rsidRDefault="00D44F63" w:rsidP="009164A5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 xml:space="preserve">do Zarządzenia </w:t>
      </w:r>
      <w:r w:rsidR="009724AA">
        <w:rPr>
          <w:rFonts w:ascii="Arial" w:hAnsi="Arial" w:cs="Arial"/>
          <w:b/>
          <w:color w:val="2E2014"/>
          <w:sz w:val="12"/>
          <w:szCs w:val="12"/>
        </w:rPr>
        <w:t>Nr 0050/</w:t>
      </w:r>
      <w:r w:rsidR="009E1392">
        <w:rPr>
          <w:rFonts w:ascii="Arial" w:hAnsi="Arial" w:cs="Arial"/>
          <w:b/>
          <w:color w:val="2E2014"/>
          <w:sz w:val="12"/>
          <w:szCs w:val="12"/>
        </w:rPr>
        <w:t>118</w:t>
      </w:r>
      <w:r w:rsidR="009724AA">
        <w:rPr>
          <w:rFonts w:ascii="Arial" w:hAnsi="Arial" w:cs="Arial"/>
          <w:b/>
          <w:color w:val="2E2014"/>
          <w:sz w:val="12"/>
          <w:szCs w:val="12"/>
        </w:rPr>
        <w:t>/24</w:t>
      </w:r>
    </w:p>
    <w:p w:rsidR="00D44F63" w:rsidRPr="00D44F63" w:rsidRDefault="00D44F63" w:rsidP="00D44F63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>Prezydenta Miasta Tychy</w:t>
      </w:r>
    </w:p>
    <w:p w:rsidR="00D44F63" w:rsidRPr="00D44F63" w:rsidRDefault="00D44F63" w:rsidP="00D44F63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>z dnia</w:t>
      </w:r>
      <w:r w:rsidR="009724AA">
        <w:rPr>
          <w:rFonts w:ascii="Arial" w:hAnsi="Arial" w:cs="Arial"/>
          <w:b/>
          <w:color w:val="2E2014"/>
          <w:sz w:val="12"/>
          <w:szCs w:val="12"/>
        </w:rPr>
        <w:t xml:space="preserve"> </w:t>
      </w:r>
      <w:r w:rsidR="009E1392">
        <w:rPr>
          <w:rFonts w:ascii="Arial" w:hAnsi="Arial" w:cs="Arial"/>
          <w:b/>
          <w:color w:val="2E2014"/>
          <w:sz w:val="12"/>
          <w:szCs w:val="12"/>
        </w:rPr>
        <w:t>29</w:t>
      </w:r>
      <w:r w:rsidR="009724AA">
        <w:rPr>
          <w:rFonts w:ascii="Arial" w:hAnsi="Arial" w:cs="Arial"/>
          <w:b/>
          <w:color w:val="2E2014"/>
          <w:sz w:val="12"/>
          <w:szCs w:val="12"/>
        </w:rPr>
        <w:t xml:space="preserve"> marca 2024 r.</w:t>
      </w:r>
    </w:p>
    <w:p w:rsidR="00044C0C" w:rsidRPr="00035F99" w:rsidRDefault="00155AE2" w:rsidP="008669EF">
      <w:pPr>
        <w:pStyle w:val="Standard"/>
        <w:spacing w:line="360" w:lineRule="auto"/>
        <w:ind w:left="3673" w:right="3653"/>
        <w:jc w:val="center"/>
        <w:rPr>
          <w:rFonts w:ascii="Arial" w:hAnsi="Arial" w:cs="Arial"/>
          <w:b/>
          <w:color w:val="2E2014"/>
          <w:sz w:val="22"/>
          <w:szCs w:val="22"/>
        </w:rPr>
      </w:pPr>
      <w:r w:rsidRPr="00035F99">
        <w:rPr>
          <w:rFonts w:ascii="Arial" w:hAnsi="Arial" w:cs="Arial"/>
          <w:b/>
          <w:color w:val="2E2014"/>
          <w:sz w:val="22"/>
          <w:szCs w:val="22"/>
        </w:rPr>
        <w:t>INFORMACJA DODATKOWA</w:t>
      </w:r>
      <w:r w:rsidR="008669EF" w:rsidRPr="00035F99">
        <w:rPr>
          <w:rFonts w:ascii="Arial" w:hAnsi="Arial" w:cs="Arial"/>
          <w:b/>
          <w:color w:val="2E2014"/>
          <w:sz w:val="22"/>
          <w:szCs w:val="22"/>
        </w:rPr>
        <w:t xml:space="preserve"> </w:t>
      </w:r>
    </w:p>
    <w:p w:rsidR="00922A6A" w:rsidRPr="00035F99" w:rsidRDefault="00922A6A" w:rsidP="008669EF">
      <w:pPr>
        <w:pStyle w:val="Standard"/>
        <w:spacing w:line="360" w:lineRule="auto"/>
        <w:ind w:left="3673" w:right="3653"/>
        <w:jc w:val="center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214"/>
      </w:tblGrid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Wprowadzenie do sprawozdania finansowego, obejmuje w szczególności: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C1C" w:rsidRDefault="007E0C1C" w:rsidP="007E0C1C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Miejskie Centrum Kultury w Tychach jest instytucją kultury działającą od 1 stycznia 2006 r. na podstawie Uchwały Nr XLI/781/05 Rady Miasta Tychy z dnia 15 grudnia 2005 roku, a powstałą w wyniku przekształcenia jednostki budżetowej Miejskie Centrum Kultury w Tychach w instytucję kultury Uchwałą Nr 0150/XXXVII/701/05 Rady Miasta Tychy z dnia 01 września 2005 roku.</w:t>
            </w:r>
          </w:p>
          <w:p w:rsidR="007E0C1C" w:rsidRDefault="007E0C1C" w:rsidP="007E0C1C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Miejskie Centrum Kultury w Tychach działa w szczególności na podstawie ustawy z dnia 25.10.1991 roku o organizowaniu u prowadzeniu działalności kulturalnej (Dz. U. 2020 poz. 194 ze zm.) oraz na podstawie Statutu Miejskiego Centrum Kultury w Tychach zatwierdzonego Uchwałą Nr 0150/XLI/782/05 Rady Miasta Tychy z dnia 15 grudnia 2005 roku (z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późn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zm</w:t>
            </w:r>
            <w:r w:rsidR="00FC7F7E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).</w:t>
            </w:r>
          </w:p>
          <w:p w:rsidR="007E0C1C" w:rsidRDefault="007E0C1C" w:rsidP="007E0C1C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Podstawowym przedmiotem działalności instytucji jest działalność kulturalna poprzez rozwijanie i zaspakajanie potrzeb społeczeństwa w zakresie kultury. Celem MCK jest prowadzenie różnorodnej działalności kulturalnej w zakresie tworzenia i upowszechniania kultury i sztuki, edukacji kulturalnej oraz animacji i rozwoju amatorskiego ruchu artystycznego. Oprócz centralnej siedziby, działalność prowadzona jest także w dwóch klubach zlokalizowanych w dzielnicy Wilkowyje i Urbanowice.</w:t>
            </w:r>
          </w:p>
          <w:p w:rsidR="007E0C1C" w:rsidRDefault="007E0C1C" w:rsidP="007E0C1C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Miejskie Centrum Kultury w Tychach jest zarejestrowane jako instytucja kultury w Rejestrze Instytucji Kultury prowadzonym przez organizatora.</w:t>
            </w:r>
          </w:p>
          <w:p w:rsidR="002A24A0" w:rsidRPr="00035F99" w:rsidRDefault="002A24A0" w:rsidP="002A24A0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Sprawozdanie finansowe zostało sporządzone przy założeniu kontynuacji działania i nie istnieją przesłanki wskazujące na zagrożenie tej działalności.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</w:t>
            </w:r>
            <w:r w:rsidR="00772D2D"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nazwę jednostki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7E0C1C" w:rsidP="00E579F1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Miejskie Centrum Kultury w Tychach 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1.2</w:t>
            </w:r>
            <w:r w:rsidR="00772D2D"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siedzibę jednostki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43-100 Tychy, </w:t>
            </w:r>
            <w:r w:rsidR="002A24A0" w:rsidRPr="00035F9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7E0C1C">
              <w:rPr>
                <w:rFonts w:ascii="Arial" w:hAnsi="Arial" w:cs="Arial"/>
                <w:sz w:val="22"/>
                <w:szCs w:val="22"/>
              </w:rPr>
              <w:t>Bohaterów Warszawy 26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1.3</w:t>
            </w:r>
            <w:r w:rsidR="00772D2D"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adres jednostki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43-100 Tychy,</w:t>
            </w:r>
            <w:r w:rsidR="002A24A0" w:rsidRPr="00035F99">
              <w:rPr>
                <w:rFonts w:ascii="Arial" w:hAnsi="Arial" w:cs="Arial"/>
                <w:sz w:val="22"/>
                <w:szCs w:val="22"/>
              </w:rPr>
              <w:t xml:space="preserve"> ul. </w:t>
            </w:r>
            <w:r w:rsidR="007E0C1C">
              <w:rPr>
                <w:rFonts w:ascii="Arial" w:hAnsi="Arial" w:cs="Arial"/>
                <w:sz w:val="22"/>
                <w:szCs w:val="22"/>
              </w:rPr>
              <w:t>Bohaterów Warszawy 26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1.4</w:t>
            </w:r>
            <w:r w:rsidR="00772D2D"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podstawowy przedmiot działalności jednostki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7E0C1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Działalność związana z zaspokojeniem potrzeb mieszkańców miasta w dziedzinie dostępu do szeroko pojętej kultury.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 okresu objętego sprawozdaniem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F04" w:rsidRPr="00035F99" w:rsidRDefault="00155AE2" w:rsidP="00837F04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525E12" w:rsidRPr="00035F99">
              <w:rPr>
                <w:rFonts w:ascii="Arial" w:hAnsi="Arial" w:cs="Arial"/>
                <w:sz w:val="22"/>
                <w:szCs w:val="22"/>
              </w:rPr>
              <w:t>stycznia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9C0801" w:rsidRPr="00035F99">
              <w:rPr>
                <w:rFonts w:ascii="Arial" w:hAnsi="Arial" w:cs="Arial"/>
                <w:sz w:val="22"/>
                <w:szCs w:val="22"/>
              </w:rPr>
              <w:t>2</w:t>
            </w:r>
            <w:r w:rsidR="00BD2547">
              <w:rPr>
                <w:rFonts w:ascii="Arial" w:hAnsi="Arial" w:cs="Arial"/>
                <w:sz w:val="22"/>
                <w:szCs w:val="22"/>
              </w:rPr>
              <w:t>3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– 31 grud</w:t>
            </w:r>
            <w:r w:rsidR="008553EA" w:rsidRPr="00035F99">
              <w:rPr>
                <w:rFonts w:ascii="Arial" w:hAnsi="Arial" w:cs="Arial"/>
                <w:sz w:val="22"/>
                <w:szCs w:val="22"/>
              </w:rPr>
              <w:t>nia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E232DD" w:rsidRPr="00035F99">
              <w:rPr>
                <w:rFonts w:ascii="Arial" w:hAnsi="Arial" w:cs="Arial"/>
                <w:sz w:val="22"/>
                <w:szCs w:val="22"/>
              </w:rPr>
              <w:t>2</w:t>
            </w:r>
            <w:r w:rsidR="00BD254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wskazanie, że sprawozdanie finansowe zawiera dane łączne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omówienie przyjętych zasad (polityki) rachunkowości, w tym metod wyceny aktywów i pasywów (także amortyzacji)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FB" w:rsidRPr="00035F99" w:rsidRDefault="005E10FB" w:rsidP="002A24A0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24A0" w:rsidRPr="00035F99" w:rsidRDefault="002A24A0" w:rsidP="002A24A0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Sprawozdanie sporządza w wersji pełnej wykazując w nim składniki aktywów </w:t>
            </w:r>
            <w:r w:rsidRPr="00035F99">
              <w:rPr>
                <w:rFonts w:ascii="Arial" w:hAnsi="Arial" w:cs="Arial"/>
                <w:sz w:val="22"/>
                <w:szCs w:val="22"/>
              </w:rPr>
              <w:br/>
              <w:t>i pasywów zgodnie z art. 50 ust. 1 ustawy o rachunkowości oraz przy założeniu kontynuowania działalności kulturalnej.</w:t>
            </w:r>
          </w:p>
          <w:p w:rsidR="002A24A0" w:rsidRPr="00035F99" w:rsidRDefault="002A24A0" w:rsidP="002A24A0">
            <w:pPr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035F99">
              <w:rPr>
                <w:rFonts w:ascii="Arial" w:hAnsi="Arial"/>
                <w:sz w:val="22"/>
                <w:szCs w:val="22"/>
              </w:rPr>
              <w:t>Wyceny aktywów i pasywów dokonuje wg zasad określonych w przepisach rozdziału   czwartego ustawy o rachunkowości; zgodnie z art. 28 ustawy o rachunkowości aktywa i pasywa wycenia się nie rzadziej niż na dzień bilansowy w sposób następujący: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środki trwałe oraz wartości niematerialne i prawne wg cen nabycia lub kosztu w</w:t>
            </w:r>
            <w:r w:rsidRPr="00035F99">
              <w:rPr>
                <w:rFonts w:ascii="Arial" w:hAnsi="Arial" w:cs="Arial"/>
                <w:sz w:val="22"/>
                <w:szCs w:val="22"/>
              </w:rPr>
              <w:t>y</w:t>
            </w:r>
            <w:r w:rsidRPr="00035F99">
              <w:rPr>
                <w:rFonts w:ascii="Arial" w:hAnsi="Arial" w:cs="Arial"/>
                <w:sz w:val="22"/>
                <w:szCs w:val="22"/>
              </w:rPr>
              <w:t>tworzenia, lub wartości przeszacowanej (po aktualizacji wyceny przeprowadzonej zgodnie z odrębnymi przepisami) w wartości początkowej pomniejszonych o odpisy am</w:t>
            </w:r>
            <w:r w:rsidR="00E65B8B">
              <w:rPr>
                <w:rFonts w:ascii="Arial" w:hAnsi="Arial" w:cs="Arial"/>
                <w:sz w:val="22"/>
                <w:szCs w:val="22"/>
              </w:rPr>
              <w:t>or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tyzacyjne lub umorzeniowe, a także o odpisy z tytułu trwałej utraty wartości </w:t>
            </w:r>
            <w:r w:rsidRPr="00035F99">
              <w:rPr>
                <w:rFonts w:ascii="Arial" w:hAnsi="Arial" w:cs="Arial"/>
                <w:sz w:val="22"/>
                <w:szCs w:val="22"/>
              </w:rPr>
              <w:lastRenderedPageBreak/>
              <w:t>z uwzględnieniem przepisów art. 31, art. 32 ust. 1-5 i art. 33 ust. 1 lub wg ceny ry</w:t>
            </w:r>
            <w:r w:rsidRPr="00035F99">
              <w:rPr>
                <w:rFonts w:ascii="Arial" w:hAnsi="Arial" w:cs="Arial"/>
                <w:sz w:val="22"/>
                <w:szCs w:val="22"/>
              </w:rPr>
              <w:t>n</w:t>
            </w:r>
            <w:r w:rsidRPr="00035F99">
              <w:rPr>
                <w:rFonts w:ascii="Arial" w:hAnsi="Arial" w:cs="Arial"/>
                <w:sz w:val="22"/>
                <w:szCs w:val="22"/>
              </w:rPr>
              <w:t>kowej; nie umarza się gruntów i dóbr kultury;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inwestycje (środki trwałe w budowie) w wysokości ogółu poniesionych kosztów p</w:t>
            </w:r>
            <w:r w:rsidRPr="00035F99">
              <w:rPr>
                <w:rFonts w:ascii="Arial" w:hAnsi="Arial" w:cs="Arial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sz w:val="22"/>
                <w:szCs w:val="22"/>
              </w:rPr>
              <w:t>zostających w bezpośrednim związku z ich nabyciem lub wytworzeniem pomnie</w:t>
            </w:r>
            <w:r w:rsidRPr="00035F99">
              <w:rPr>
                <w:rFonts w:ascii="Arial" w:hAnsi="Arial" w:cs="Arial"/>
                <w:sz w:val="22"/>
                <w:szCs w:val="22"/>
              </w:rPr>
              <w:t>j</w:t>
            </w:r>
            <w:r w:rsidRPr="00035F99">
              <w:rPr>
                <w:rFonts w:ascii="Arial" w:hAnsi="Arial" w:cs="Arial"/>
                <w:sz w:val="22"/>
                <w:szCs w:val="22"/>
              </w:rPr>
              <w:t>szone o odpisy z tytułu trwałej utraty wartości;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rzeczowe składniki aktywów obrotowych wg cen nabycia lub kosztów wytworzenia nie wyższych od cen ich sprzedaży netto na dzień bilansowy; do bilansu wycenia się wg wartości wynikającej z ewidencji; w jednostkach, które prowadzą ewidencję zapasów wg cen ewidencyjnych i ewidencjonują odchylenia od cen zakupu, nabycia lub sprzedaży wartość zapasów na dzień bilansowy korygują odpowiednio o wartość odchyleń;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należności w kwocie wymaganej zapłaty; jeżeli jednostka dokonała odpisów aktual</w:t>
            </w:r>
            <w:r w:rsidRPr="00035F99">
              <w:rPr>
                <w:rFonts w:ascii="Arial" w:hAnsi="Arial" w:cs="Arial"/>
                <w:sz w:val="22"/>
                <w:szCs w:val="22"/>
              </w:rPr>
              <w:t>i</w:t>
            </w:r>
            <w:r w:rsidRPr="00035F99">
              <w:rPr>
                <w:rFonts w:ascii="Arial" w:hAnsi="Arial" w:cs="Arial"/>
                <w:sz w:val="22"/>
                <w:szCs w:val="22"/>
              </w:rPr>
              <w:t>zacyjnych i wartość tych odpisów została ujęta na koncie 290, to należności wyc</w:t>
            </w:r>
            <w:r w:rsidRPr="00035F99">
              <w:rPr>
                <w:rFonts w:ascii="Arial" w:hAnsi="Arial" w:cs="Arial"/>
                <w:sz w:val="22"/>
                <w:szCs w:val="22"/>
              </w:rPr>
              <w:t>e</w:t>
            </w:r>
            <w:r w:rsidRPr="00035F99">
              <w:rPr>
                <w:rFonts w:ascii="Arial" w:hAnsi="Arial" w:cs="Arial"/>
                <w:sz w:val="22"/>
                <w:szCs w:val="22"/>
              </w:rPr>
              <w:t>nione na dzień bilansowy wykazuje się po pomniejszeniu o wartość odpisów;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zobowiązania w kwocie wymaganej zapłaty;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środki pieniężne wg wartości nominalnej;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fundusze oraz pozostałe aktywa i pasywa wycenia się wg wartości wynikającej z ewidencji księgowej.</w:t>
            </w:r>
          </w:p>
          <w:p w:rsidR="002A24A0" w:rsidRPr="00035F99" w:rsidRDefault="002A24A0" w:rsidP="002A24A0">
            <w:pPr>
              <w:pStyle w:val="Nagwek7"/>
              <w:spacing w:line="240" w:lineRule="auto"/>
              <w:ind w:left="142"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Stosownie do przepisu art. 4 ust. 4 ustawy o rachunkowości jednostka stosuje następujące uproszczenia:</w:t>
            </w:r>
          </w:p>
          <w:p w:rsidR="002A24A0" w:rsidRPr="00035F99" w:rsidRDefault="002A24A0" w:rsidP="002A24A0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zakupione składniki majątkowe trwałego użytku o przewidywanym okresie używania dłuższym niż rok i wartości początkowej poniżej 2.500 zł</w:t>
            </w:r>
            <w:r w:rsidR="00FC7F7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są zarachowywane w koszty i objęte ewidencją ilościową;</w:t>
            </w:r>
          </w:p>
          <w:p w:rsidR="002A24A0" w:rsidRPr="00035F99" w:rsidRDefault="002A24A0" w:rsidP="002A24A0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naliczenia umorzenia składników majątkowych trwałego użytku o wartości poniżej 10.000 zł. ujmowanych na koncie 013 dokonuje się w miesiącu oddania do używ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nia w 100 % ich wartości początkowej</w:t>
            </w:r>
          </w:p>
          <w:p w:rsidR="002A24A0" w:rsidRPr="00035F99" w:rsidRDefault="002A24A0" w:rsidP="002A24A0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środki trwałe o wartości powyżej 10.000 zł. są amortyzowane i umarzane na po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stawie miesięcznych odpisów przy zastosowaniu stawek umorzeniowych określ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nych w przepisach podatkowych</w:t>
            </w:r>
            <w:r w:rsidR="00FC7F7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:rsidR="002A24A0" w:rsidRPr="00035F99" w:rsidRDefault="00FC7F7E" w:rsidP="002A24A0">
            <w:pPr>
              <w:pStyle w:val="Nagwek7"/>
              <w:spacing w:line="240" w:lineRule="auto"/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</w:t>
            </w:r>
            <w:r w:rsidR="002A24A0"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aliczone amortyzacja i umorzenie nie powodują zmian w funduszu jednostki.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II.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Dodatkowe informacje i objaśnienia obejmują w szczególności: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szczegółowy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zakres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zmian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grup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rodzajowych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niematerialnych i prawnych, zawierający stan tych aktywów na początek roku obrotowego, zwiększenia i zmniejszenia z tytułu: aktualizacji wartości,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nabycia,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rozchodu,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przemieszczenia</w:t>
            </w:r>
            <w:r w:rsidRPr="00035F99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wewnętrznego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stan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końcowy,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</w:t>
            </w:r>
            <w:r w:rsidRPr="00035F99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dla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majątku</w:t>
            </w:r>
            <w:r w:rsidRPr="00035F99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amortyzowanego – podobne przedstawienie stanów i tytułów zmian dotychczasowej amortyzacji lub umorzenia</w:t>
            </w:r>
          </w:p>
        </w:tc>
      </w:tr>
      <w:tr w:rsidR="002A24A0" w:rsidRPr="00035F99" w:rsidTr="00D800E5">
        <w:trPr>
          <w:trHeight w:val="4188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78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334"/>
              <w:gridCol w:w="1701"/>
              <w:gridCol w:w="1418"/>
              <w:gridCol w:w="1701"/>
              <w:gridCol w:w="1632"/>
            </w:tblGrid>
            <w:tr w:rsidR="002A24A0" w:rsidRPr="00E65B8B" w:rsidTr="009E0958">
              <w:trPr>
                <w:trHeight w:val="216"/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Stan na początek roku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Zmiany w trakcie roku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33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Stan na koniec roku</w:t>
                  </w:r>
                </w:p>
              </w:tc>
            </w:tr>
            <w:tr w:rsidR="002A24A0" w:rsidRPr="00E65B8B" w:rsidTr="009E0958">
              <w:trPr>
                <w:trHeight w:val="173"/>
                <w:jc w:val="center"/>
              </w:trPr>
              <w:tc>
                <w:tcPr>
                  <w:tcW w:w="2334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40" w:right="4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Zwiększenia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Zmniejszenia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22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Grupa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285"/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Default="00BD254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89.355.07</w:t>
                  </w:r>
                </w:p>
                <w:p w:rsidR="00470C7B" w:rsidRPr="00E65B8B" w:rsidRDefault="00470C7B" w:rsidP="00470C7B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BD254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BD254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18</w:t>
                  </w:r>
                  <w:r w:rsidR="0054720D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463,17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BD254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70</w:t>
                  </w:r>
                  <w:r w:rsidR="0054720D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891,90</w:t>
                  </w:r>
                </w:p>
              </w:tc>
            </w:tr>
            <w:tr w:rsidR="002A24A0" w:rsidRPr="00E65B8B" w:rsidTr="009E0958">
              <w:trPr>
                <w:trHeight w:val="224"/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BD254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59.932,21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6760C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14.359,60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6760C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18.463,17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BD254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55.828,54</w:t>
                  </w:r>
                </w:p>
              </w:tc>
            </w:tr>
            <w:tr w:rsidR="002A24A0" w:rsidRPr="00E65B8B" w:rsidTr="009E0958">
              <w:trPr>
                <w:trHeight w:val="160"/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BD254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29.422,86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B0A4D" w:rsidRPr="00E65B8B" w:rsidRDefault="00FB0A4D" w:rsidP="00FB0A4D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-14.359,60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BD254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15.063,36</w:t>
                  </w:r>
                </w:p>
              </w:tc>
            </w:tr>
            <w:tr w:rsidR="002A24A0" w:rsidRPr="00E65B8B" w:rsidTr="009E0958">
              <w:trPr>
                <w:trHeight w:val="15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Grupa 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21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70C7B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5 840,51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70C7B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942A5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5.840</w:t>
                  </w:r>
                  <w:r w:rsidR="00470C7B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51</w:t>
                  </w:r>
                </w:p>
              </w:tc>
            </w:tr>
            <w:tr w:rsidR="002A24A0" w:rsidRPr="00E65B8B" w:rsidTr="009E0958">
              <w:trPr>
                <w:trHeight w:val="15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70C7B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5.840,51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70C7B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3133C4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5.840,51</w:t>
                  </w:r>
                </w:p>
              </w:tc>
            </w:tr>
            <w:tr w:rsidR="002A24A0" w:rsidRPr="00E65B8B" w:rsidTr="009E0958">
              <w:trPr>
                <w:trHeight w:val="237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70C7B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60E15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A24A0" w:rsidRPr="00E65B8B" w:rsidTr="009E0958">
              <w:trPr>
                <w:trHeight w:val="18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lastRenderedPageBreak/>
                    <w:t>Grupa 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18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D527A5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105 844,44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D527A5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31.815,83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74.028,61</w:t>
                  </w:r>
                </w:p>
              </w:tc>
            </w:tr>
            <w:tr w:rsidR="002A24A0" w:rsidRPr="00E65B8B" w:rsidTr="009E0958">
              <w:trPr>
                <w:trHeight w:val="19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86.374,03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914FB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2.433,80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914FB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31.815,83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56.992,00</w:t>
                  </w:r>
                </w:p>
              </w:tc>
            </w:tr>
            <w:tr w:rsidR="002A24A0" w:rsidRPr="00E65B8B" w:rsidTr="009E0958">
              <w:trPr>
                <w:trHeight w:val="21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19.470,41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B0A4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-2.433,80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17.036,61</w:t>
                  </w:r>
                </w:p>
              </w:tc>
            </w:tr>
            <w:tr w:rsidR="002A24A0" w:rsidRPr="00E65B8B" w:rsidTr="009E0958">
              <w:trPr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  <w:highlight w:val="yellow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Grupa 8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2A24A0" w:rsidRPr="00E65B8B" w:rsidTr="009E0958">
              <w:trPr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330</w:t>
                  </w:r>
                  <w:r w:rsidR="00096DEA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545,</w:t>
                  </w:r>
                  <w:r w:rsidR="00B526AC">
                    <w:rPr>
                      <w:rFonts w:ascii="Arial" w:hAnsi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187371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330.545,62</w:t>
                  </w:r>
                </w:p>
              </w:tc>
            </w:tr>
            <w:tr w:rsidR="002A24A0" w:rsidRPr="00E65B8B" w:rsidTr="009E0958">
              <w:trPr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156</w:t>
                  </w:r>
                  <w:r w:rsidR="00096DEA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712,04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B526AC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19.712,71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176</w:t>
                  </w:r>
                  <w:r w:rsidR="00096DEA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424,75</w:t>
                  </w:r>
                </w:p>
              </w:tc>
            </w:tr>
            <w:tr w:rsidR="002A24A0" w:rsidRPr="00E65B8B" w:rsidTr="009E0958">
              <w:trPr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472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173</w:t>
                  </w:r>
                  <w:r w:rsidR="00096DEA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833,58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B0A4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-19.712,71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096DE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154.120,87</w:t>
                  </w:r>
                </w:p>
              </w:tc>
            </w:tr>
            <w:tr w:rsidR="002A24A0" w:rsidRPr="00E65B8B" w:rsidTr="009E0958">
              <w:trPr>
                <w:trHeight w:val="18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Wartości niematerialne i</w:t>
                  </w:r>
                  <w:r w:rsidR="00E65B8B"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 </w:t>
                  </w: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prawne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18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096DE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47.435,57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096DE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C9205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47.435,57</w:t>
                  </w:r>
                </w:p>
              </w:tc>
            </w:tr>
            <w:tr w:rsidR="002A24A0" w:rsidRPr="00E65B8B" w:rsidTr="009E0958">
              <w:trPr>
                <w:trHeight w:val="19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096DE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47.435,57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096DE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C9205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47,435,57</w:t>
                  </w:r>
                </w:p>
              </w:tc>
            </w:tr>
            <w:tr w:rsidR="002A24A0" w:rsidRPr="00E65B8B" w:rsidTr="009E0958">
              <w:trPr>
                <w:trHeight w:val="21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A24A0" w:rsidRPr="00E65B8B" w:rsidTr="009E0958">
              <w:trPr>
                <w:trHeight w:val="18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Dzieła sztuki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18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7B672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62.400,0</w:t>
                  </w:r>
                  <w:r w:rsidR="002A24A0" w:rsidRPr="00E65B8B">
                    <w:rPr>
                      <w:rFonts w:ascii="Arial" w:hAnsi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C9205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62.400,00</w:t>
                  </w:r>
                </w:p>
              </w:tc>
            </w:tr>
            <w:tr w:rsidR="002A24A0" w:rsidRPr="00E65B8B" w:rsidTr="009E0958">
              <w:trPr>
                <w:trHeight w:val="19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  <w:p w:rsidR="002A24A0" w:rsidRPr="00E65B8B" w:rsidRDefault="002A24A0" w:rsidP="002A24A0">
                  <w:pPr>
                    <w:pStyle w:val="TableContents"/>
                    <w:ind w:right="142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A24A0" w:rsidRPr="00E65B8B" w:rsidTr="009E0958">
              <w:trPr>
                <w:trHeight w:val="21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7B672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62.400,00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C7F7E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7B672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62.400,00</w:t>
                  </w:r>
                </w:p>
              </w:tc>
            </w:tr>
          </w:tbl>
          <w:p w:rsidR="002A24A0" w:rsidRPr="00E65B8B" w:rsidRDefault="002A24A0" w:rsidP="002A24A0">
            <w:pPr>
              <w:pStyle w:val="Standard"/>
              <w:widowControl w:val="0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aktualną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rynkową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tym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dóbr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kultury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–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ile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jednostka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dysponuje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takimi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informacjami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dokonanych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trakcie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roku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odpisów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aktualizujących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aktywów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odrębnie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dla długoterminowych aktywów niefinansowych oraz długoterminowych aktywów finansowych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 gruntów użytkowanych wieczyście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nieamortyzowanych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nieumarzanych</w:t>
            </w:r>
            <w:r w:rsidRPr="00035F99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przez</w:t>
            </w:r>
            <w:r w:rsidRPr="00035F99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jednostkę</w:t>
            </w:r>
            <w:r w:rsidRPr="00035F99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035F99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używanych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podstawie umów najmu, dzierżawy i innych umów, w tym z tytułu umów leasingu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1.6.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liczbę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posiadanych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papierów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wartościowych,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tym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akcji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udziałów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dłużnych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papierów wartościowych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1.7.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dane o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odpisach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aktualizujących wartość należności, ze wskazaniem stanu na początek roku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1.8.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dane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stanie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rezerw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według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celu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ich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utworzenia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początek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roku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obrotowego,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zwiększeniach,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wykorzystaniu, rozwiązaniu i stanie końcowym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1.9.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 jednostce występują tylko zobowiązania krótkoterminowe w tym:</w:t>
            </w:r>
          </w:p>
        </w:tc>
      </w:tr>
      <w:tr w:rsidR="002A24A0" w:rsidRPr="00035F99" w:rsidTr="00611EBF">
        <w:trPr>
          <w:trHeight w:val="1749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4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91"/>
              <w:gridCol w:w="1644"/>
            </w:tblGrid>
            <w:tr w:rsidR="002A24A0" w:rsidRPr="00E65B8B" w:rsidTr="001441A4">
              <w:trPr>
                <w:trHeight w:val="345"/>
                <w:jc w:val="center"/>
              </w:trPr>
              <w:tc>
                <w:tcPr>
                  <w:tcW w:w="4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 tytułu dostaw i usług</w:t>
                  </w:r>
                </w:p>
              </w:tc>
              <w:tc>
                <w:tcPr>
                  <w:tcW w:w="1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0AAF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27.055.74</w:t>
                  </w:r>
                </w:p>
              </w:tc>
            </w:tr>
            <w:tr w:rsidR="002A24A0" w:rsidRPr="00E65B8B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 tytułu podatków i ubezpieczeń społecznych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0AAF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A24A0" w:rsidRPr="00E65B8B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 tytułu wynagrodzeń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B790D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A24A0" w:rsidRPr="00E65B8B" w:rsidTr="00FF58E4">
              <w:trPr>
                <w:trHeight w:val="300"/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 tytułu rozliczenia dotacji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58E4" w:rsidRPr="00E65B8B" w:rsidRDefault="00E40AAF" w:rsidP="00FF58E4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3.540,73</w:t>
                  </w:r>
                </w:p>
              </w:tc>
            </w:tr>
            <w:tr w:rsidR="00FF58E4" w:rsidRPr="00E65B8B" w:rsidTr="00FF58E4">
              <w:trPr>
                <w:trHeight w:val="105"/>
                <w:jc w:val="center"/>
              </w:trPr>
              <w:tc>
                <w:tcPr>
                  <w:tcW w:w="479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58E4" w:rsidRPr="00E65B8B" w:rsidRDefault="00FF58E4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 tytułu innych zobowiązań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58E4" w:rsidRPr="00E65B8B" w:rsidRDefault="00E40AAF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2.244,18</w:t>
                  </w:r>
                </w:p>
              </w:tc>
            </w:tr>
          </w:tbl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1.10.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zobowiązań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sytuacji,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gdy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jednostka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kwalifikuje umowy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leasingu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zgodnie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</w:t>
            </w:r>
            <w:r w:rsidR="00E65B8B">
              <w:rPr>
                <w:rFonts w:ascii="Arial" w:hAnsi="Arial" w:cs="Arial"/>
                <w:b/>
                <w:color w:val="2E2014"/>
                <w:sz w:val="22"/>
                <w:szCs w:val="22"/>
              </w:rPr>
              <w:t> 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przepisami podatkowymi (leasing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operacyjny),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według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przepisów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rachunkowości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byłby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to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leasing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finansowy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zwrotny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podziałem na kwotę zobowiązań z tytułu leasingu finansowego lub leasingu zwrotnego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zobowiązań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zabezpieczonych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majątku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jednostki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ze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wskazaniem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charakteru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formy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tych zabezpieczeń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color w:val="2E2014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 kwotę zobowiązań warunkowych, w tym również udzielonych przez jednostkę gwarancji i poręczeń, także wekslowych, niewykazanych w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bilansie, ze wskazaniem zobowiązań zabezpieczonych na majątku jednostki oraz charakteru i formy tych zabezpieczeń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0FB" w:rsidRPr="00035F99" w:rsidRDefault="005E10FB" w:rsidP="00460E15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7710" w:rsidRDefault="00460E15" w:rsidP="00460E15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30451225"/>
            <w:r w:rsidRPr="00035F99">
              <w:rPr>
                <w:rFonts w:ascii="Arial" w:hAnsi="Arial" w:cs="Arial"/>
                <w:sz w:val="22"/>
                <w:szCs w:val="22"/>
              </w:rPr>
              <w:t xml:space="preserve">Jako </w:t>
            </w:r>
            <w:r w:rsidR="0080047C">
              <w:rPr>
                <w:rFonts w:ascii="Arial" w:hAnsi="Arial" w:cs="Arial"/>
                <w:sz w:val="22"/>
                <w:szCs w:val="22"/>
              </w:rPr>
              <w:t>krótkoterminowe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rozliczenia międzyokresowe kosztów ujęto koszty </w:t>
            </w:r>
            <w:r w:rsidR="0080047C">
              <w:rPr>
                <w:rFonts w:ascii="Arial" w:hAnsi="Arial" w:cs="Arial"/>
                <w:sz w:val="22"/>
                <w:szCs w:val="22"/>
              </w:rPr>
              <w:t>prenumeraty w</w:t>
            </w:r>
            <w:r w:rsidR="00453E5D">
              <w:rPr>
                <w:rFonts w:ascii="Arial" w:hAnsi="Arial" w:cs="Arial"/>
                <w:sz w:val="22"/>
                <w:szCs w:val="22"/>
              </w:rPr>
              <w:t> </w:t>
            </w:r>
            <w:r w:rsidR="0080047C">
              <w:rPr>
                <w:rFonts w:ascii="Arial" w:hAnsi="Arial" w:cs="Arial"/>
                <w:sz w:val="22"/>
                <w:szCs w:val="22"/>
              </w:rPr>
              <w:t xml:space="preserve">kwocie </w:t>
            </w:r>
            <w:r w:rsidR="00F556C5" w:rsidRPr="00F556C5">
              <w:rPr>
                <w:rFonts w:ascii="Arial" w:hAnsi="Arial" w:cs="Arial"/>
                <w:b/>
                <w:bCs/>
                <w:sz w:val="22"/>
                <w:szCs w:val="22"/>
              </w:rPr>
              <w:t>466,78</w:t>
            </w:r>
            <w:r w:rsidR="0080047C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FC7F7E">
              <w:rPr>
                <w:rFonts w:ascii="Arial" w:hAnsi="Arial" w:cs="Arial"/>
                <w:sz w:val="22"/>
                <w:szCs w:val="22"/>
              </w:rPr>
              <w:t>.</w:t>
            </w:r>
            <w:r w:rsidR="0080047C">
              <w:rPr>
                <w:rFonts w:ascii="Arial" w:hAnsi="Arial" w:cs="Arial"/>
                <w:sz w:val="22"/>
                <w:szCs w:val="22"/>
              </w:rPr>
              <w:t>, usług różnych</w:t>
            </w:r>
            <w:r w:rsidR="00453E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47C">
              <w:rPr>
                <w:rFonts w:ascii="Arial" w:hAnsi="Arial" w:cs="Arial"/>
                <w:sz w:val="22"/>
                <w:szCs w:val="22"/>
              </w:rPr>
              <w:t xml:space="preserve">- kosztów wysyłki w kwocie </w:t>
            </w:r>
            <w:r w:rsidR="0080047C" w:rsidRPr="00F556C5">
              <w:rPr>
                <w:rFonts w:ascii="Arial" w:hAnsi="Arial" w:cs="Arial"/>
                <w:b/>
                <w:bCs/>
                <w:sz w:val="22"/>
                <w:szCs w:val="22"/>
              </w:rPr>
              <w:t>26,6</w:t>
            </w:r>
            <w:r w:rsidR="00F556C5" w:rsidRPr="00F556C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80047C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FC7F7E">
              <w:rPr>
                <w:rFonts w:ascii="Arial" w:hAnsi="Arial" w:cs="Arial"/>
                <w:sz w:val="22"/>
                <w:szCs w:val="22"/>
              </w:rPr>
              <w:t>.</w:t>
            </w:r>
            <w:r w:rsidR="00F556C5">
              <w:rPr>
                <w:rFonts w:ascii="Arial" w:hAnsi="Arial" w:cs="Arial"/>
                <w:sz w:val="22"/>
                <w:szCs w:val="22"/>
              </w:rPr>
              <w:t xml:space="preserve"> rozliczenie usług drukarskich w kwocie </w:t>
            </w:r>
            <w:r w:rsidR="00F556C5" w:rsidRPr="00F556C5">
              <w:rPr>
                <w:rFonts w:ascii="Arial" w:hAnsi="Arial" w:cs="Arial"/>
                <w:b/>
                <w:bCs/>
                <w:sz w:val="22"/>
                <w:szCs w:val="22"/>
              </w:rPr>
              <w:t>498,00</w:t>
            </w:r>
            <w:r w:rsidR="00F556C5">
              <w:rPr>
                <w:rFonts w:ascii="Arial" w:hAnsi="Arial" w:cs="Arial"/>
                <w:sz w:val="22"/>
                <w:szCs w:val="22"/>
              </w:rPr>
              <w:t xml:space="preserve"> zł.,</w:t>
            </w:r>
            <w:r w:rsidR="0080047C">
              <w:rPr>
                <w:rFonts w:ascii="Arial" w:hAnsi="Arial" w:cs="Arial"/>
                <w:sz w:val="22"/>
                <w:szCs w:val="22"/>
              </w:rPr>
              <w:t xml:space="preserve"> rozliczenia abonamentów, subskrypcji, domen i hostingów w kwocie </w:t>
            </w:r>
            <w:r w:rsidR="00F556C5" w:rsidRPr="00F556C5">
              <w:rPr>
                <w:rFonts w:ascii="Arial" w:hAnsi="Arial" w:cs="Arial"/>
                <w:b/>
                <w:bCs/>
                <w:sz w:val="22"/>
                <w:szCs w:val="22"/>
              </w:rPr>
              <w:t>3.118,02</w:t>
            </w:r>
            <w:r w:rsidR="00FC7F7E" w:rsidRPr="0007306A">
              <w:rPr>
                <w:rFonts w:ascii="Arial" w:hAnsi="Arial" w:cs="Arial"/>
                <w:sz w:val="22"/>
                <w:szCs w:val="22"/>
              </w:rPr>
              <w:t xml:space="preserve"> zł.</w:t>
            </w:r>
            <w:r w:rsidR="0007306A">
              <w:rPr>
                <w:rFonts w:ascii="Arial" w:hAnsi="Arial" w:cs="Arial"/>
                <w:sz w:val="22"/>
                <w:szCs w:val="22"/>
              </w:rPr>
              <w:t>,</w:t>
            </w:r>
            <w:r w:rsidR="00BB7710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80047C">
              <w:rPr>
                <w:rFonts w:ascii="Arial" w:hAnsi="Arial" w:cs="Arial"/>
                <w:sz w:val="22"/>
                <w:szCs w:val="22"/>
              </w:rPr>
              <w:t xml:space="preserve">osztów odnowienia certyfikatu kwalifikowanego w kwocie </w:t>
            </w:r>
            <w:r w:rsidR="00F556C5" w:rsidRPr="0007306A">
              <w:rPr>
                <w:rFonts w:ascii="Arial" w:hAnsi="Arial" w:cs="Arial"/>
                <w:b/>
                <w:bCs/>
                <w:sz w:val="22"/>
                <w:szCs w:val="22"/>
              </w:rPr>
              <w:t>190,55</w:t>
            </w:r>
            <w:r w:rsidR="0080047C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FC7F7E">
              <w:rPr>
                <w:rFonts w:ascii="Arial" w:hAnsi="Arial" w:cs="Arial"/>
                <w:sz w:val="22"/>
                <w:szCs w:val="22"/>
              </w:rPr>
              <w:t>.</w:t>
            </w:r>
            <w:r w:rsidR="00BB7710">
              <w:rPr>
                <w:rFonts w:ascii="Arial" w:hAnsi="Arial" w:cs="Arial"/>
                <w:sz w:val="22"/>
                <w:szCs w:val="22"/>
              </w:rPr>
              <w:t>,</w:t>
            </w:r>
            <w:r w:rsidR="0007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7710">
              <w:rPr>
                <w:rFonts w:ascii="Arial" w:hAnsi="Arial" w:cs="Arial"/>
                <w:sz w:val="22"/>
                <w:szCs w:val="22"/>
              </w:rPr>
              <w:t xml:space="preserve">co daje sumę </w:t>
            </w:r>
            <w:r w:rsidR="0007306A" w:rsidRPr="0007306A">
              <w:rPr>
                <w:rFonts w:ascii="Arial" w:hAnsi="Arial" w:cs="Arial"/>
                <w:b/>
                <w:bCs/>
                <w:sz w:val="22"/>
                <w:szCs w:val="22"/>
              </w:rPr>
              <w:t>4.299,98</w:t>
            </w:r>
            <w:r w:rsidR="00BB7710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FC7F7E">
              <w:rPr>
                <w:rFonts w:ascii="Arial" w:hAnsi="Arial" w:cs="Arial"/>
                <w:sz w:val="22"/>
                <w:szCs w:val="22"/>
              </w:rPr>
              <w:t>.</w:t>
            </w:r>
            <w:r w:rsidR="00BB77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7710" w:rsidRPr="00035F99">
              <w:rPr>
                <w:rFonts w:ascii="Arial" w:hAnsi="Arial" w:cs="Arial"/>
                <w:sz w:val="22"/>
                <w:szCs w:val="22"/>
              </w:rPr>
              <w:t>zaprezentowano w bilansie w poz</w:t>
            </w:r>
            <w:r w:rsidR="00965288">
              <w:rPr>
                <w:rFonts w:ascii="Arial" w:hAnsi="Arial" w:cs="Arial"/>
                <w:sz w:val="22"/>
                <w:szCs w:val="22"/>
              </w:rPr>
              <w:t xml:space="preserve">ycji </w:t>
            </w:r>
            <w:r w:rsidR="00BB7710" w:rsidRPr="00035F99">
              <w:rPr>
                <w:rFonts w:ascii="Arial" w:hAnsi="Arial" w:cs="Arial"/>
                <w:sz w:val="22"/>
                <w:szCs w:val="22"/>
              </w:rPr>
              <w:t xml:space="preserve"> B.</w:t>
            </w:r>
            <w:r w:rsidR="00BB7710">
              <w:rPr>
                <w:rFonts w:ascii="Arial" w:hAnsi="Arial" w:cs="Arial"/>
                <w:sz w:val="22"/>
                <w:szCs w:val="22"/>
              </w:rPr>
              <w:t>IV.</w:t>
            </w:r>
          </w:p>
          <w:p w:rsidR="005E10FB" w:rsidRDefault="00BB7710" w:rsidP="00FE3EC9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Jako długoterminowe rozliczenia międzyokresowe ujęto koszty rozliczenia domeny w kwocie </w:t>
            </w:r>
            <w:r w:rsidRPr="0007306A">
              <w:rPr>
                <w:rFonts w:ascii="Arial" w:hAnsi="Arial" w:cs="Arial"/>
                <w:b/>
                <w:bCs/>
                <w:sz w:val="22"/>
                <w:szCs w:val="22"/>
              </w:rPr>
              <w:t>3,3</w:t>
            </w:r>
            <w:r w:rsidR="0007306A" w:rsidRPr="0007306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FC7F7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kosztów odnowienia certyfikatu kwalifikowanego w kwocie </w:t>
            </w:r>
            <w:r w:rsidR="0007306A" w:rsidRPr="0007306A">
              <w:rPr>
                <w:rFonts w:ascii="Arial" w:hAnsi="Arial" w:cs="Arial"/>
                <w:b/>
                <w:bCs/>
                <w:sz w:val="22"/>
                <w:szCs w:val="22"/>
              </w:rPr>
              <w:t>240,10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FC7F7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, co daje sumę </w:t>
            </w:r>
            <w:r w:rsidR="0007306A" w:rsidRPr="0007306A">
              <w:rPr>
                <w:rFonts w:ascii="Arial" w:hAnsi="Arial" w:cs="Arial"/>
                <w:b/>
                <w:bCs/>
                <w:sz w:val="22"/>
                <w:szCs w:val="22"/>
              </w:rPr>
              <w:t>243,43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FC7F7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zaprezentowano w bila</w:t>
            </w:r>
            <w:r w:rsidR="00965288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sie w poz</w:t>
            </w:r>
            <w:r w:rsidR="00965288">
              <w:rPr>
                <w:rFonts w:ascii="Arial" w:hAnsi="Arial" w:cs="Arial"/>
                <w:sz w:val="22"/>
                <w:szCs w:val="22"/>
              </w:rPr>
              <w:t>ycji A.V.</w:t>
            </w:r>
          </w:p>
          <w:p w:rsidR="00B74958" w:rsidRPr="00035F99" w:rsidRDefault="00B74958" w:rsidP="00FE3EC9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24A0" w:rsidRPr="00035F99" w:rsidRDefault="00460E15" w:rsidP="00460E15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Rozliczenia międzyokresowe przychodów to dotacje na zakupy inwestycyjne, które zgodnie z ustawą o rachunkowości zwiększają przychody w momencie odpisów amortyzacyjnych</w:t>
            </w:r>
            <w:r w:rsidR="00186797">
              <w:rPr>
                <w:rFonts w:ascii="Arial" w:hAnsi="Arial" w:cs="Arial"/>
                <w:sz w:val="22"/>
                <w:szCs w:val="22"/>
              </w:rPr>
              <w:t>, które wykazano w bilansie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w kwocie </w:t>
            </w:r>
            <w:r w:rsidR="0007306A" w:rsidRPr="00AC2FC5">
              <w:rPr>
                <w:rFonts w:ascii="Arial" w:hAnsi="Arial" w:cs="Arial"/>
                <w:b/>
                <w:bCs/>
                <w:sz w:val="22"/>
                <w:szCs w:val="22"/>
              </w:rPr>
              <w:t>186.589,74</w:t>
            </w:r>
            <w:r w:rsidRPr="00035F99">
              <w:rPr>
                <w:rFonts w:ascii="Arial" w:hAnsi="Arial" w:cs="Arial"/>
                <w:sz w:val="22"/>
                <w:szCs w:val="22"/>
              </w:rPr>
              <w:t> zł</w:t>
            </w:r>
            <w:r w:rsidR="00FC7F7E">
              <w:rPr>
                <w:rFonts w:ascii="Arial" w:hAnsi="Arial" w:cs="Arial"/>
                <w:sz w:val="22"/>
                <w:szCs w:val="22"/>
              </w:rPr>
              <w:t>.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6797">
              <w:rPr>
                <w:rFonts w:ascii="Arial" w:hAnsi="Arial" w:cs="Arial"/>
                <w:sz w:val="22"/>
                <w:szCs w:val="22"/>
              </w:rPr>
              <w:t xml:space="preserve">z podziałem na 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krótkoterminowe </w:t>
            </w:r>
            <w:r w:rsidR="00186797">
              <w:rPr>
                <w:rFonts w:ascii="Arial" w:hAnsi="Arial" w:cs="Arial"/>
                <w:sz w:val="22"/>
                <w:szCs w:val="22"/>
              </w:rPr>
              <w:t>w</w:t>
            </w:r>
            <w:r w:rsidR="00383A44">
              <w:rPr>
                <w:rFonts w:ascii="Arial" w:hAnsi="Arial" w:cs="Arial"/>
                <w:sz w:val="22"/>
                <w:szCs w:val="22"/>
              </w:rPr>
              <w:t> </w:t>
            </w:r>
            <w:r w:rsidRPr="00035F99">
              <w:rPr>
                <w:rFonts w:ascii="Arial" w:hAnsi="Arial" w:cs="Arial"/>
                <w:sz w:val="22"/>
                <w:szCs w:val="22"/>
              </w:rPr>
              <w:t>kwo</w:t>
            </w:r>
            <w:r w:rsidR="00186797">
              <w:rPr>
                <w:rFonts w:ascii="Arial" w:hAnsi="Arial" w:cs="Arial"/>
                <w:sz w:val="22"/>
                <w:szCs w:val="22"/>
              </w:rPr>
              <w:t xml:space="preserve">cie </w:t>
            </w:r>
            <w:r w:rsidR="00186797" w:rsidRPr="00186797">
              <w:rPr>
                <w:rFonts w:ascii="Arial" w:hAnsi="Arial" w:cs="Arial"/>
                <w:b/>
                <w:bCs/>
                <w:sz w:val="22"/>
                <w:szCs w:val="22"/>
              </w:rPr>
              <w:t>31.436,34</w:t>
            </w:r>
            <w:r w:rsidR="00186797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383A44">
              <w:rPr>
                <w:rFonts w:ascii="Arial" w:hAnsi="Arial" w:cs="Arial"/>
                <w:sz w:val="22"/>
                <w:szCs w:val="22"/>
              </w:rPr>
              <w:t>.</w:t>
            </w:r>
            <w:r w:rsidR="00186797">
              <w:rPr>
                <w:rFonts w:ascii="Arial" w:hAnsi="Arial" w:cs="Arial"/>
                <w:sz w:val="22"/>
                <w:szCs w:val="22"/>
              </w:rPr>
              <w:t xml:space="preserve"> w tym 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2FC5" w:rsidRPr="00AC2FC5">
              <w:rPr>
                <w:rFonts w:ascii="Arial" w:hAnsi="Arial" w:cs="Arial"/>
                <w:b/>
                <w:bCs/>
                <w:sz w:val="22"/>
                <w:szCs w:val="22"/>
              </w:rPr>
              <w:t>30.522,45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zł. odpis</w:t>
            </w:r>
            <w:r w:rsidR="00186797">
              <w:rPr>
                <w:rFonts w:ascii="Arial" w:hAnsi="Arial" w:cs="Arial"/>
                <w:sz w:val="22"/>
                <w:szCs w:val="22"/>
              </w:rPr>
              <w:t>y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amortyzacyjn</w:t>
            </w:r>
            <w:r w:rsidR="00186797">
              <w:rPr>
                <w:rFonts w:ascii="Arial" w:hAnsi="Arial" w:cs="Arial"/>
                <w:sz w:val="22"/>
                <w:szCs w:val="22"/>
              </w:rPr>
              <w:t xml:space="preserve">e dokonane </w:t>
            </w:r>
            <w:r w:rsidRPr="00035F99">
              <w:rPr>
                <w:rFonts w:ascii="Arial" w:hAnsi="Arial" w:cs="Arial"/>
                <w:sz w:val="22"/>
                <w:szCs w:val="22"/>
              </w:rPr>
              <w:t>w 2023 r.</w:t>
            </w:r>
            <w:r w:rsidR="00186797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="00AC2FC5">
              <w:rPr>
                <w:rFonts w:ascii="Arial" w:hAnsi="Arial" w:cs="Arial"/>
                <w:sz w:val="22"/>
                <w:szCs w:val="22"/>
              </w:rPr>
              <w:t xml:space="preserve"> rozliczenia wpływów za bilety  kwocie </w:t>
            </w:r>
            <w:r w:rsidR="00AC2FC5" w:rsidRPr="00AC2FC5">
              <w:rPr>
                <w:rFonts w:ascii="Arial" w:hAnsi="Arial" w:cs="Arial"/>
                <w:b/>
                <w:bCs/>
                <w:sz w:val="22"/>
                <w:szCs w:val="22"/>
              </w:rPr>
              <w:t>913,89</w:t>
            </w:r>
            <w:r w:rsidR="00AC2FC5">
              <w:rPr>
                <w:rFonts w:ascii="Arial" w:hAnsi="Arial" w:cs="Arial"/>
                <w:sz w:val="22"/>
                <w:szCs w:val="22"/>
              </w:rPr>
              <w:t xml:space="preserve"> zł.</w:t>
            </w:r>
            <w:r w:rsidR="00383A44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186797">
              <w:rPr>
                <w:rFonts w:ascii="Arial" w:hAnsi="Arial" w:cs="Arial"/>
                <w:sz w:val="22"/>
                <w:szCs w:val="22"/>
              </w:rPr>
              <w:t xml:space="preserve"> na</w:t>
            </w:r>
            <w:r w:rsidR="00965288">
              <w:rPr>
                <w:rFonts w:ascii="Arial" w:hAnsi="Arial" w:cs="Arial"/>
                <w:sz w:val="22"/>
                <w:szCs w:val="22"/>
              </w:rPr>
              <w:t xml:space="preserve"> długoterminowe 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w kwocie </w:t>
            </w:r>
            <w:r w:rsidR="00AC2FC5" w:rsidRPr="00AC2FC5">
              <w:rPr>
                <w:rFonts w:ascii="Arial" w:hAnsi="Arial" w:cs="Arial"/>
                <w:b/>
                <w:bCs/>
                <w:sz w:val="22"/>
                <w:szCs w:val="22"/>
              </w:rPr>
              <w:t>155.153,40</w:t>
            </w:r>
            <w:r w:rsidR="00965288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End w:id="0"/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 kwotę otrzymanych przez jednostkę gwarancji i poręczeń niewykazanych w bilansie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struktury przychodów ze sprzedaży</w:t>
            </w:r>
          </w:p>
        </w:tc>
      </w:tr>
      <w:tr w:rsidR="002A24A0" w:rsidRPr="00035F99" w:rsidTr="00FE3EC9">
        <w:trPr>
          <w:trHeight w:val="1803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pPr w:leftFromText="141" w:rightFromText="141" w:vertAnchor="page" w:horzAnchor="margin" w:tblpXSpec="center" w:tblpY="166"/>
              <w:tblOverlap w:val="never"/>
              <w:tblW w:w="716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352"/>
              <w:gridCol w:w="1813"/>
            </w:tblGrid>
            <w:tr w:rsidR="00FE3EC9" w:rsidRPr="00E65B8B" w:rsidTr="00922E29">
              <w:tc>
                <w:tcPr>
                  <w:tcW w:w="53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E3EC9" w:rsidRPr="00E65B8B" w:rsidRDefault="00FE3EC9" w:rsidP="00FE3EC9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Dotacja z Gminy Miasta Tychy</w:t>
                  </w: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E3EC9" w:rsidRPr="00E65B8B" w:rsidRDefault="00F43494" w:rsidP="00FE3EC9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5.104.216,28</w:t>
                  </w:r>
                </w:p>
              </w:tc>
            </w:tr>
            <w:tr w:rsidR="00FE3EC9" w:rsidRPr="00E65B8B" w:rsidTr="00922E29">
              <w:trPr>
                <w:trHeight w:val="210"/>
              </w:trPr>
              <w:tc>
                <w:tcPr>
                  <w:tcW w:w="535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E3EC9" w:rsidRPr="00E65B8B" w:rsidRDefault="00FE3EC9" w:rsidP="00FE3EC9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 xml:space="preserve">Dotacja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PUP na kształcenie ustawiczne pracowników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E3EC9" w:rsidRPr="00E65B8B" w:rsidRDefault="00F43494" w:rsidP="00FE3EC9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FE3EC9" w:rsidRPr="00E65B8B" w:rsidTr="00922E29">
              <w:tc>
                <w:tcPr>
                  <w:tcW w:w="535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E3EC9" w:rsidRPr="00E65B8B" w:rsidRDefault="00FE3EC9" w:rsidP="00FE3EC9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Przychody ze sprzedaży</w:t>
                  </w:r>
                </w:p>
              </w:tc>
              <w:tc>
                <w:tcPr>
                  <w:tcW w:w="181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E3EC9" w:rsidRPr="00E65B8B" w:rsidRDefault="00F43494" w:rsidP="00FE3EC9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408.063,20</w:t>
                  </w:r>
                </w:p>
              </w:tc>
            </w:tr>
            <w:tr w:rsidR="00FE3EC9" w:rsidRPr="00E65B8B" w:rsidTr="00F667E7">
              <w:trPr>
                <w:trHeight w:val="324"/>
              </w:trPr>
              <w:tc>
                <w:tcPr>
                  <w:tcW w:w="535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E3EC9" w:rsidRPr="00E65B8B" w:rsidRDefault="00FE3EC9" w:rsidP="00FE3EC9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Pozostałe przychody</w:t>
                  </w:r>
                </w:p>
              </w:tc>
              <w:tc>
                <w:tcPr>
                  <w:tcW w:w="181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E3EC9" w:rsidRPr="00E65B8B" w:rsidRDefault="00F667E7" w:rsidP="00FE3EC9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61.727,25</w:t>
                  </w:r>
                </w:p>
              </w:tc>
            </w:tr>
          </w:tbl>
          <w:p w:rsidR="002A24A0" w:rsidRPr="00E65B8B" w:rsidRDefault="002A24A0" w:rsidP="00FE3EC9">
            <w:pPr>
              <w:pStyle w:val="Standard"/>
              <w:widowControl w:val="0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1.16.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E5D" w:rsidRDefault="00453E5D" w:rsidP="005508B8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790D" w:rsidRDefault="002A24A0" w:rsidP="005508B8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Przeciętne zatrudnienie w 202</w:t>
            </w:r>
            <w:r w:rsidR="00244944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r. wyniosło </w:t>
            </w:r>
            <w:r w:rsidR="008834C4">
              <w:rPr>
                <w:rFonts w:ascii="Arial" w:hAnsi="Arial" w:cs="Arial"/>
                <w:sz w:val="22"/>
                <w:szCs w:val="22"/>
              </w:rPr>
              <w:t>22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944" w:rsidRPr="00035F99">
              <w:rPr>
                <w:rFonts w:ascii="Arial" w:hAnsi="Arial" w:cs="Arial"/>
                <w:sz w:val="22"/>
                <w:szCs w:val="22"/>
              </w:rPr>
              <w:t>osob</w:t>
            </w:r>
            <w:r w:rsidR="00244944">
              <w:rPr>
                <w:rFonts w:ascii="Arial" w:hAnsi="Arial" w:cs="Arial"/>
                <w:sz w:val="22"/>
                <w:szCs w:val="22"/>
              </w:rPr>
              <w:t>y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, co stanowi </w:t>
            </w:r>
            <w:r w:rsidR="008834C4">
              <w:rPr>
                <w:rFonts w:ascii="Arial" w:hAnsi="Arial" w:cs="Arial"/>
                <w:sz w:val="22"/>
                <w:szCs w:val="22"/>
              </w:rPr>
              <w:t>18,94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etatu przeliczeniowego w tym:</w:t>
            </w: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lastRenderedPageBreak/>
              <w:t xml:space="preserve">Dyrekcja – </w:t>
            </w:r>
            <w:r w:rsidR="002200CB" w:rsidRPr="00035F99">
              <w:rPr>
                <w:rFonts w:ascii="Arial" w:hAnsi="Arial" w:cs="Arial"/>
                <w:sz w:val="22"/>
                <w:szCs w:val="22"/>
              </w:rPr>
              <w:t>1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osoby</w:t>
            </w: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Pracownicy merytoryczni – </w:t>
            </w:r>
            <w:r w:rsidR="008834C4">
              <w:rPr>
                <w:rFonts w:ascii="Arial" w:hAnsi="Arial" w:cs="Arial"/>
                <w:sz w:val="22"/>
                <w:szCs w:val="22"/>
              </w:rPr>
              <w:t>1</w:t>
            </w:r>
            <w:r w:rsidR="00281D36">
              <w:rPr>
                <w:rFonts w:ascii="Arial" w:hAnsi="Arial" w:cs="Arial"/>
                <w:sz w:val="22"/>
                <w:szCs w:val="22"/>
              </w:rPr>
              <w:t>6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osoby</w:t>
            </w: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Pracownicy administracyjni –  </w:t>
            </w:r>
            <w:r w:rsidR="00281D36">
              <w:rPr>
                <w:rFonts w:ascii="Arial" w:hAnsi="Arial" w:cs="Arial"/>
                <w:sz w:val="22"/>
                <w:szCs w:val="22"/>
              </w:rPr>
              <w:t>4</w:t>
            </w:r>
            <w:r w:rsidR="005E10FB"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sz w:val="22"/>
                <w:szCs w:val="22"/>
              </w:rPr>
              <w:t>osob</w:t>
            </w:r>
            <w:r w:rsidR="005E10FB" w:rsidRPr="00035F99"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2A24A0" w:rsidRPr="00035F99" w:rsidRDefault="005E10FB" w:rsidP="005508B8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Pracownicy gospodarczy – </w:t>
            </w:r>
            <w:r w:rsidR="00281D36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035F99">
              <w:rPr>
                <w:rFonts w:ascii="Arial" w:hAnsi="Arial" w:cs="Arial"/>
                <w:sz w:val="22"/>
                <w:szCs w:val="22"/>
              </w:rPr>
              <w:t>os</w:t>
            </w:r>
            <w:r w:rsidR="002B790D">
              <w:rPr>
                <w:rFonts w:ascii="Arial" w:hAnsi="Arial" w:cs="Arial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sz w:val="22"/>
                <w:szCs w:val="22"/>
              </w:rPr>
              <w:t>b</w:t>
            </w:r>
            <w:r w:rsidR="002B790D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2A24A0" w:rsidRPr="00035F99" w:rsidTr="00FE3EC9">
        <w:trPr>
          <w:trHeight w:val="521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color w:val="2E2014"/>
                <w:sz w:val="22"/>
                <w:szCs w:val="22"/>
              </w:rPr>
              <w:lastRenderedPageBreak/>
              <w:t>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FE3EC9">
            <w:pPr>
              <w:pStyle w:val="Standard"/>
              <w:widowControl w:val="0"/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wysokość odpisów aktualizujących wartość zapasów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charakter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poszczególnych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pozycji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przychodów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kosztów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nadzwyczajnej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które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wystąpiły incydentalnie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informację o kwocie należności z tytułu podatków realizowanych przez organy podatkowe podległe ministrowi właściwemu do spraw finansów publicznych wykazywanych w sprawozdaniu z wykonania planu dochodów budżetowych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Zobowiązanie wobec Gminy Miasta Tychy z tytułu zwrotu dotacji w kwocie </w:t>
            </w:r>
            <w:r w:rsidR="00792556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3.540,73</w:t>
            </w:r>
            <w:r w:rsidR="007925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zł.</w:t>
            </w:r>
            <w:r w:rsidR="000F764A" w:rsidRPr="00035F99">
              <w:rPr>
                <w:rFonts w:ascii="Arial" w:hAnsi="Arial" w:cs="Arial"/>
                <w:sz w:val="22"/>
                <w:szCs w:val="22"/>
              </w:rPr>
              <w:t>, a</w:t>
            </w:r>
            <w:r w:rsidR="00FC7F7E">
              <w:rPr>
                <w:rFonts w:ascii="Arial" w:hAnsi="Arial" w:cs="Arial"/>
                <w:sz w:val="22"/>
                <w:szCs w:val="22"/>
              </w:rPr>
              <w:t> </w:t>
            </w:r>
            <w:r w:rsidR="000F764A" w:rsidRPr="00035F99">
              <w:rPr>
                <w:rFonts w:ascii="Arial" w:hAnsi="Arial" w:cs="Arial"/>
                <w:sz w:val="22"/>
                <w:szCs w:val="22"/>
              </w:rPr>
              <w:t>także zobowiązanie wobec</w:t>
            </w:r>
            <w:r w:rsidR="004249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2556">
              <w:rPr>
                <w:rFonts w:ascii="Arial" w:hAnsi="Arial" w:cs="Arial"/>
                <w:sz w:val="22"/>
                <w:szCs w:val="22"/>
              </w:rPr>
              <w:t>Poczty Polskiej SA abonament RTV</w:t>
            </w:r>
            <w:r w:rsidR="00383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2556">
              <w:rPr>
                <w:rFonts w:ascii="Arial" w:hAnsi="Arial" w:cs="Arial"/>
                <w:sz w:val="22"/>
                <w:szCs w:val="22"/>
              </w:rPr>
              <w:t xml:space="preserve">(2019-2023) w kwocie </w:t>
            </w:r>
            <w:r w:rsidR="00792556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1.433,10</w:t>
            </w:r>
            <w:r w:rsidR="007925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A44">
              <w:rPr>
                <w:rFonts w:ascii="Arial" w:hAnsi="Arial" w:cs="Arial"/>
                <w:sz w:val="22"/>
                <w:szCs w:val="22"/>
              </w:rPr>
              <w:t xml:space="preserve">zł. </w:t>
            </w:r>
            <w:r w:rsidR="00463530">
              <w:rPr>
                <w:rFonts w:ascii="Arial" w:hAnsi="Arial" w:cs="Arial"/>
                <w:sz w:val="22"/>
                <w:szCs w:val="22"/>
              </w:rPr>
              <w:t xml:space="preserve">odsetki </w:t>
            </w:r>
            <w:r w:rsidR="00792556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295,08</w:t>
            </w:r>
            <w:r w:rsidR="00FC7F7E">
              <w:rPr>
                <w:rFonts w:ascii="Arial" w:hAnsi="Arial" w:cs="Arial"/>
                <w:sz w:val="22"/>
                <w:szCs w:val="22"/>
              </w:rPr>
              <w:t xml:space="preserve"> zł.</w:t>
            </w:r>
            <w:r w:rsidR="00792556">
              <w:rPr>
                <w:rFonts w:ascii="Arial" w:hAnsi="Arial" w:cs="Arial"/>
                <w:sz w:val="22"/>
                <w:szCs w:val="22"/>
              </w:rPr>
              <w:t xml:space="preserve">, koszty upomnienia </w:t>
            </w:r>
            <w:r w:rsidR="00792556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  <w:r w:rsidR="00792556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383A44">
              <w:rPr>
                <w:rFonts w:ascii="Arial" w:hAnsi="Arial" w:cs="Arial"/>
                <w:sz w:val="22"/>
                <w:szCs w:val="22"/>
              </w:rPr>
              <w:t>.</w:t>
            </w:r>
            <w:r w:rsidR="007925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BF9">
              <w:rPr>
                <w:rFonts w:ascii="Arial" w:hAnsi="Arial" w:cs="Arial"/>
                <w:sz w:val="22"/>
                <w:szCs w:val="22"/>
              </w:rPr>
              <w:t>oraz rozrachunki z tyt</w:t>
            </w:r>
            <w:r w:rsidR="00383A44">
              <w:rPr>
                <w:rFonts w:ascii="Arial" w:hAnsi="Arial" w:cs="Arial"/>
                <w:sz w:val="22"/>
                <w:szCs w:val="22"/>
              </w:rPr>
              <w:t>ułu</w:t>
            </w:r>
            <w:r w:rsidR="00790BF9">
              <w:rPr>
                <w:rFonts w:ascii="Arial" w:hAnsi="Arial" w:cs="Arial"/>
                <w:sz w:val="22"/>
                <w:szCs w:val="22"/>
              </w:rPr>
              <w:t xml:space="preserve"> sprzedaży obrazów w kwocie </w:t>
            </w:r>
            <w:r w:rsidR="00790BF9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500,00</w:t>
            </w:r>
            <w:r w:rsidR="00790BF9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383A44">
              <w:rPr>
                <w:rFonts w:ascii="Arial" w:hAnsi="Arial" w:cs="Arial"/>
                <w:sz w:val="22"/>
                <w:szCs w:val="22"/>
              </w:rPr>
              <w:t>.</w:t>
            </w:r>
            <w:r w:rsidR="00790B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A44">
              <w:rPr>
                <w:rFonts w:ascii="Arial" w:hAnsi="Arial" w:cs="Arial"/>
                <w:sz w:val="22"/>
                <w:szCs w:val="22"/>
              </w:rPr>
              <w:t>Suma powyższych zobowiązań wynosi</w:t>
            </w:r>
            <w:r w:rsidR="00790B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BF9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5.784,91</w:t>
            </w:r>
            <w:r w:rsidR="00790BF9">
              <w:rPr>
                <w:rFonts w:ascii="Arial" w:hAnsi="Arial" w:cs="Arial"/>
                <w:sz w:val="22"/>
                <w:szCs w:val="22"/>
              </w:rPr>
              <w:t xml:space="preserve"> zł.</w:t>
            </w:r>
            <w:r w:rsidR="000F764A"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A44">
              <w:rPr>
                <w:rFonts w:ascii="Arial" w:hAnsi="Arial" w:cs="Arial"/>
                <w:sz w:val="22"/>
                <w:szCs w:val="22"/>
              </w:rPr>
              <w:t xml:space="preserve">i została </w:t>
            </w:r>
            <w:r w:rsidRPr="00035F99">
              <w:rPr>
                <w:rFonts w:ascii="Arial" w:hAnsi="Arial" w:cs="Arial"/>
                <w:sz w:val="22"/>
                <w:szCs w:val="22"/>
              </w:rPr>
              <w:t>zaprezentowan</w:t>
            </w:r>
            <w:r w:rsidR="00383A44">
              <w:rPr>
                <w:rFonts w:ascii="Arial" w:hAnsi="Arial" w:cs="Arial"/>
                <w:sz w:val="22"/>
                <w:szCs w:val="22"/>
              </w:rPr>
              <w:t>a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w bilansie w poz. B.III.3.i. </w:t>
            </w: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Zobowiązania wobec kontrahentów o okresie wymagalności do 12 miesięcy wynoszą </w:t>
            </w:r>
            <w:r w:rsidR="00790BF9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27.055,74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zł., które zaprezentowano w bilansie w poz. B.III.3.d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92620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Należności 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 xml:space="preserve">z tytułu </w:t>
            </w:r>
            <w:r w:rsidR="000D0695">
              <w:rPr>
                <w:rFonts w:ascii="Arial" w:hAnsi="Arial" w:cs="Arial"/>
                <w:sz w:val="22"/>
                <w:szCs w:val="22"/>
              </w:rPr>
              <w:t>wynajmu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>,</w:t>
            </w:r>
            <w:r w:rsidR="000D0695">
              <w:rPr>
                <w:rFonts w:ascii="Arial" w:hAnsi="Arial" w:cs="Arial"/>
                <w:sz w:val="22"/>
                <w:szCs w:val="22"/>
              </w:rPr>
              <w:t xml:space="preserve"> sponsoringu, sprzedaży towaru</w:t>
            </w:r>
            <w:r w:rsidR="00790BF9">
              <w:rPr>
                <w:rFonts w:ascii="Arial" w:hAnsi="Arial" w:cs="Arial"/>
                <w:sz w:val="22"/>
                <w:szCs w:val="22"/>
              </w:rPr>
              <w:t>, refaktury za energię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sz w:val="22"/>
                <w:szCs w:val="22"/>
              </w:rPr>
              <w:t>wykazan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w bilansie w pozycji B.II.3.a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>.</w:t>
            </w:r>
            <w:r w:rsidR="00B92620">
              <w:rPr>
                <w:rFonts w:ascii="Arial" w:hAnsi="Arial" w:cs="Arial"/>
                <w:sz w:val="22"/>
                <w:szCs w:val="22"/>
              </w:rPr>
              <w:t xml:space="preserve"> w kwocie </w:t>
            </w:r>
            <w:r w:rsidR="00790BF9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8.008,45</w:t>
            </w:r>
            <w:r w:rsidR="00FC7F7E">
              <w:rPr>
                <w:rFonts w:ascii="Arial" w:hAnsi="Arial" w:cs="Arial"/>
                <w:sz w:val="22"/>
                <w:szCs w:val="22"/>
              </w:rPr>
              <w:t xml:space="preserve"> zł.</w:t>
            </w:r>
          </w:p>
          <w:p w:rsidR="002A24A0" w:rsidRDefault="000F764A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W pozycji B.II.3.</w:t>
            </w:r>
            <w:r w:rsidR="00B92620">
              <w:rPr>
                <w:rFonts w:ascii="Arial" w:hAnsi="Arial" w:cs="Arial"/>
                <w:sz w:val="22"/>
                <w:szCs w:val="22"/>
              </w:rPr>
              <w:t>b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wykazano należności z tytułu </w:t>
            </w:r>
            <w:r w:rsidR="00B92620">
              <w:rPr>
                <w:rFonts w:ascii="Arial" w:hAnsi="Arial" w:cs="Arial"/>
                <w:sz w:val="22"/>
                <w:szCs w:val="22"/>
              </w:rPr>
              <w:t xml:space="preserve">nadpłaty </w:t>
            </w:r>
            <w:r w:rsidR="00790BF9">
              <w:rPr>
                <w:rFonts w:ascii="Arial" w:hAnsi="Arial" w:cs="Arial"/>
                <w:sz w:val="22"/>
                <w:szCs w:val="22"/>
              </w:rPr>
              <w:t xml:space="preserve">podatku VAT </w:t>
            </w:r>
            <w:r w:rsidR="00790BF9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18.417,12</w:t>
            </w:r>
            <w:r w:rsidR="00B92620">
              <w:rPr>
                <w:rFonts w:ascii="Arial" w:hAnsi="Arial" w:cs="Arial"/>
                <w:sz w:val="22"/>
                <w:szCs w:val="22"/>
              </w:rPr>
              <w:t xml:space="preserve"> zł.</w:t>
            </w:r>
          </w:p>
          <w:p w:rsidR="002A24A0" w:rsidRPr="00035F99" w:rsidRDefault="00B92620" w:rsidP="00B74958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383A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pozycji B.II.3.c wykazano należności </w:t>
            </w:r>
            <w:r w:rsidR="00F70106">
              <w:rPr>
                <w:rFonts w:ascii="Arial" w:hAnsi="Arial" w:cs="Arial"/>
                <w:sz w:val="22"/>
                <w:szCs w:val="22"/>
              </w:rPr>
              <w:t>inne</w:t>
            </w:r>
            <w:r w:rsidR="00383A44">
              <w:rPr>
                <w:rFonts w:ascii="Arial" w:hAnsi="Arial" w:cs="Arial"/>
                <w:sz w:val="22"/>
                <w:szCs w:val="22"/>
              </w:rPr>
              <w:t xml:space="preserve"> w kwocie </w:t>
            </w:r>
            <w:r w:rsidR="00383A44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10.454,33</w:t>
            </w:r>
            <w:r w:rsidR="00383A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83A44">
              <w:rPr>
                <w:rFonts w:ascii="Arial" w:hAnsi="Arial" w:cs="Arial"/>
                <w:sz w:val="22"/>
                <w:szCs w:val="22"/>
              </w:rPr>
              <w:t xml:space="preserve">zł. </w:t>
            </w:r>
            <w:r w:rsidR="005556E5">
              <w:rPr>
                <w:rFonts w:ascii="Arial" w:hAnsi="Arial" w:cs="Arial"/>
                <w:sz w:val="22"/>
                <w:szCs w:val="22"/>
              </w:rPr>
              <w:t>(nadpłata C.O</w:t>
            </w:r>
            <w:r w:rsidR="00574AB7">
              <w:rPr>
                <w:rFonts w:ascii="Arial" w:hAnsi="Arial" w:cs="Arial"/>
                <w:sz w:val="22"/>
                <w:szCs w:val="22"/>
              </w:rPr>
              <w:t xml:space="preserve"> w kwocie </w:t>
            </w:r>
            <w:r w:rsidR="00574AB7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309,71</w:t>
            </w:r>
            <w:r w:rsidR="00574AB7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5556E5">
              <w:rPr>
                <w:rFonts w:ascii="Arial" w:hAnsi="Arial" w:cs="Arial"/>
                <w:sz w:val="22"/>
                <w:szCs w:val="22"/>
              </w:rPr>
              <w:t xml:space="preserve"> i energię elektryczną</w:t>
            </w:r>
            <w:r w:rsidR="00574AB7">
              <w:rPr>
                <w:rFonts w:ascii="Arial" w:hAnsi="Arial" w:cs="Arial"/>
                <w:sz w:val="22"/>
                <w:szCs w:val="22"/>
              </w:rPr>
              <w:t xml:space="preserve"> w kwocie </w:t>
            </w:r>
            <w:r w:rsidR="00574AB7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D06F8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574AB7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609,26</w:t>
            </w:r>
            <w:r w:rsidR="00D06F83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5556E5">
              <w:rPr>
                <w:rFonts w:ascii="Arial" w:hAnsi="Arial" w:cs="Arial"/>
                <w:sz w:val="22"/>
                <w:szCs w:val="22"/>
              </w:rPr>
              <w:t>,</w:t>
            </w:r>
            <w:r w:rsidR="0057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56E5">
              <w:rPr>
                <w:rFonts w:ascii="Arial" w:hAnsi="Arial" w:cs="Arial"/>
                <w:sz w:val="22"/>
                <w:szCs w:val="22"/>
              </w:rPr>
              <w:t xml:space="preserve">zwrot za </w:t>
            </w:r>
            <w:r w:rsidR="00574AB7">
              <w:rPr>
                <w:rFonts w:ascii="Arial" w:hAnsi="Arial" w:cs="Arial"/>
                <w:sz w:val="22"/>
                <w:szCs w:val="22"/>
              </w:rPr>
              <w:t>wynagrodzenia</w:t>
            </w:r>
            <w:r w:rsidR="005556E5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574AB7">
              <w:rPr>
                <w:rFonts w:ascii="Arial" w:hAnsi="Arial" w:cs="Arial"/>
                <w:sz w:val="22"/>
                <w:szCs w:val="22"/>
              </w:rPr>
              <w:t>u</w:t>
            </w:r>
            <w:r w:rsidR="005556E5">
              <w:rPr>
                <w:rFonts w:ascii="Arial" w:hAnsi="Arial" w:cs="Arial"/>
                <w:sz w:val="22"/>
                <w:szCs w:val="22"/>
              </w:rPr>
              <w:t>torskie ZA</w:t>
            </w:r>
            <w:r w:rsidR="00383A44">
              <w:rPr>
                <w:rFonts w:ascii="Arial" w:hAnsi="Arial" w:cs="Arial"/>
                <w:sz w:val="22"/>
                <w:szCs w:val="22"/>
              </w:rPr>
              <w:t>i</w:t>
            </w:r>
            <w:r w:rsidR="005556E5">
              <w:rPr>
                <w:rFonts w:ascii="Arial" w:hAnsi="Arial" w:cs="Arial"/>
                <w:sz w:val="22"/>
                <w:szCs w:val="22"/>
              </w:rPr>
              <w:t>KS</w:t>
            </w:r>
            <w:r w:rsidR="00574AB7">
              <w:rPr>
                <w:rFonts w:ascii="Arial" w:hAnsi="Arial" w:cs="Arial"/>
                <w:sz w:val="22"/>
                <w:szCs w:val="22"/>
              </w:rPr>
              <w:t xml:space="preserve"> w kwocie </w:t>
            </w:r>
            <w:r w:rsidR="00574AB7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151C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574AB7" w:rsidRPr="00D06F83">
              <w:rPr>
                <w:rFonts w:ascii="Arial" w:hAnsi="Arial" w:cs="Arial"/>
                <w:b/>
                <w:bCs/>
                <w:sz w:val="22"/>
                <w:szCs w:val="22"/>
              </w:rPr>
              <w:t>441,41</w:t>
            </w:r>
            <w:r w:rsidR="00D06F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06F83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5556E5">
              <w:rPr>
                <w:rFonts w:ascii="Arial" w:hAnsi="Arial" w:cs="Arial"/>
                <w:sz w:val="22"/>
                <w:szCs w:val="22"/>
              </w:rPr>
              <w:t>,</w:t>
            </w:r>
            <w:r w:rsidR="00574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4AB7">
              <w:rPr>
                <w:rFonts w:ascii="Arial" w:hAnsi="Arial"/>
                <w:kern w:val="0"/>
                <w:sz w:val="22"/>
                <w:szCs w:val="22"/>
              </w:rPr>
              <w:t>zwrotu z tyt</w:t>
            </w:r>
            <w:r w:rsidR="00383A44">
              <w:rPr>
                <w:rFonts w:ascii="Arial" w:hAnsi="Arial"/>
                <w:kern w:val="0"/>
                <w:sz w:val="22"/>
                <w:szCs w:val="22"/>
              </w:rPr>
              <w:t>ułu</w:t>
            </w:r>
            <w:r w:rsidR="00574AB7">
              <w:rPr>
                <w:rFonts w:ascii="Arial" w:hAnsi="Arial"/>
                <w:kern w:val="0"/>
                <w:sz w:val="22"/>
                <w:szCs w:val="22"/>
              </w:rPr>
              <w:t xml:space="preserve"> błędnego oświadczenia zleceniobiorcy o objęciu ubezpieczeniem społecznym z innego tytułu w kwocie </w:t>
            </w:r>
            <w:r w:rsidR="00574AB7" w:rsidRPr="00D06F83">
              <w:rPr>
                <w:rFonts w:ascii="Arial" w:hAnsi="Arial"/>
                <w:b/>
                <w:bCs/>
                <w:kern w:val="0"/>
                <w:sz w:val="22"/>
                <w:szCs w:val="22"/>
              </w:rPr>
              <w:t>400,25</w:t>
            </w:r>
            <w:r w:rsidR="00D06F83">
              <w:rPr>
                <w:rFonts w:ascii="Arial" w:hAnsi="Arial"/>
                <w:kern w:val="0"/>
                <w:sz w:val="22"/>
                <w:szCs w:val="22"/>
              </w:rPr>
              <w:t xml:space="preserve"> zł</w:t>
            </w:r>
            <w:r w:rsidR="00383A44">
              <w:rPr>
                <w:rFonts w:ascii="Arial" w:hAnsi="Arial"/>
                <w:kern w:val="0"/>
                <w:sz w:val="22"/>
                <w:szCs w:val="22"/>
              </w:rPr>
              <w:t>.</w:t>
            </w:r>
            <w:r w:rsidR="00574AB7">
              <w:rPr>
                <w:rFonts w:ascii="Arial" w:hAnsi="Arial"/>
                <w:kern w:val="0"/>
                <w:sz w:val="22"/>
                <w:szCs w:val="22"/>
              </w:rPr>
              <w:t>, zapłacona proforma  w</w:t>
            </w:r>
            <w:r w:rsidR="00383A44">
              <w:rPr>
                <w:rFonts w:ascii="Arial" w:hAnsi="Arial"/>
                <w:kern w:val="0"/>
                <w:sz w:val="22"/>
                <w:szCs w:val="22"/>
              </w:rPr>
              <w:t> </w:t>
            </w:r>
            <w:r w:rsidR="00574AB7">
              <w:rPr>
                <w:rFonts w:ascii="Arial" w:hAnsi="Arial"/>
                <w:kern w:val="0"/>
                <w:sz w:val="22"/>
                <w:szCs w:val="22"/>
              </w:rPr>
              <w:t xml:space="preserve">kwocie </w:t>
            </w:r>
            <w:r w:rsidR="00574AB7" w:rsidRPr="00D06F83">
              <w:rPr>
                <w:rFonts w:ascii="Arial" w:hAnsi="Arial"/>
                <w:b/>
                <w:bCs/>
                <w:kern w:val="0"/>
                <w:sz w:val="22"/>
                <w:szCs w:val="22"/>
              </w:rPr>
              <w:t>2</w:t>
            </w:r>
            <w:r w:rsidR="00D06F83">
              <w:rPr>
                <w:rFonts w:ascii="Arial" w:hAnsi="Arial"/>
                <w:b/>
                <w:bCs/>
                <w:kern w:val="0"/>
                <w:sz w:val="22"/>
                <w:szCs w:val="22"/>
              </w:rPr>
              <w:t>.</w:t>
            </w:r>
            <w:r w:rsidR="00574AB7" w:rsidRPr="00D06F83">
              <w:rPr>
                <w:rFonts w:ascii="Arial" w:hAnsi="Arial"/>
                <w:b/>
                <w:bCs/>
                <w:kern w:val="0"/>
                <w:sz w:val="22"/>
                <w:szCs w:val="22"/>
              </w:rPr>
              <w:t>693,70</w:t>
            </w:r>
            <w:r w:rsidR="00383A44">
              <w:rPr>
                <w:rFonts w:ascii="Arial" w:hAnsi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383A44" w:rsidRPr="00383A44">
              <w:rPr>
                <w:rFonts w:ascii="Arial" w:hAnsi="Arial"/>
                <w:kern w:val="0"/>
                <w:sz w:val="22"/>
                <w:szCs w:val="22"/>
              </w:rPr>
              <w:t>zł.</w:t>
            </w:r>
            <w:r w:rsidR="00574AB7">
              <w:rPr>
                <w:rFonts w:ascii="Arial" w:hAnsi="Arial"/>
                <w:kern w:val="0"/>
                <w:sz w:val="22"/>
                <w:szCs w:val="22"/>
              </w:rPr>
              <w:t>)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informacje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niż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wymienione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powyżej,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jeżeli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mogłyby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istotny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sposób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wpłynąć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 ocenę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sytuacji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majątkowej i finansowej oraz wynik finansowy jednostki</w:t>
            </w:r>
          </w:p>
        </w:tc>
      </w:tr>
      <w:tr w:rsidR="002A24A0" w:rsidRPr="00035F99" w:rsidTr="00334501">
        <w:trPr>
          <w:trHeight w:val="3444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35F99">
              <w:rPr>
                <w:rFonts w:ascii="Arial" w:hAnsi="Arial"/>
                <w:sz w:val="22"/>
                <w:szCs w:val="22"/>
              </w:rPr>
              <w:t>Rozliczenie głównych pozycji podstaw opodatkowania podatkiem dochodowym od wyniku finansowego 202</w:t>
            </w:r>
            <w:r w:rsidR="00F81137">
              <w:rPr>
                <w:rFonts w:ascii="Arial" w:hAnsi="Arial"/>
                <w:sz w:val="22"/>
                <w:szCs w:val="22"/>
              </w:rPr>
              <w:t>3</w:t>
            </w:r>
          </w:p>
          <w:p w:rsidR="002A24A0" w:rsidRPr="00035F99" w:rsidRDefault="002A24A0" w:rsidP="002A24A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524"/>
              <w:gridCol w:w="1769"/>
              <w:gridCol w:w="1628"/>
            </w:tblGrid>
            <w:tr w:rsidR="002A24A0" w:rsidRPr="00035F99" w:rsidTr="00E424E0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 xml:space="preserve">Przychody wg. ksiąg będące podstawą opodatkowania </w:t>
                  </w:r>
                </w:p>
              </w:tc>
              <w:tc>
                <w:tcPr>
                  <w:tcW w:w="1769" w:type="dxa"/>
                </w:tcPr>
                <w:p w:rsidR="002A24A0" w:rsidRPr="00E65B8B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28" w:type="dxa"/>
                </w:tcPr>
                <w:p w:rsidR="002A24A0" w:rsidRPr="00E65B8B" w:rsidRDefault="00B7326F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5.566.381,42</w:t>
                  </w:r>
                </w:p>
              </w:tc>
            </w:tr>
            <w:tr w:rsidR="002A24A0" w:rsidRPr="00035F99" w:rsidTr="00E424E0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Koszty uzyskania przychodu</w:t>
                  </w:r>
                </w:p>
              </w:tc>
              <w:tc>
                <w:tcPr>
                  <w:tcW w:w="1769" w:type="dxa"/>
                </w:tcPr>
                <w:p w:rsidR="002A24A0" w:rsidRPr="00E65B8B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28" w:type="dxa"/>
                </w:tcPr>
                <w:p w:rsidR="002A24A0" w:rsidRPr="00E65B8B" w:rsidRDefault="007E258B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371.877,44</w:t>
                  </w:r>
                </w:p>
              </w:tc>
            </w:tr>
            <w:tr w:rsidR="002A24A0" w:rsidRPr="00035F99" w:rsidTr="00E424E0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Koszty uzyskania przychodu wg. ksiąg rachunkowych</w:t>
                  </w:r>
                </w:p>
              </w:tc>
              <w:tc>
                <w:tcPr>
                  <w:tcW w:w="1769" w:type="dxa"/>
                </w:tcPr>
                <w:p w:rsidR="002A24A0" w:rsidRPr="00E65B8B" w:rsidRDefault="007E258B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5.476.093,72</w:t>
                  </w:r>
                </w:p>
              </w:tc>
              <w:tc>
                <w:tcPr>
                  <w:tcW w:w="1628" w:type="dxa"/>
                </w:tcPr>
                <w:p w:rsidR="002A24A0" w:rsidRPr="00E65B8B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4A0" w:rsidRPr="00035F99" w:rsidTr="00E424E0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Pomniejszenie o koszty finansowane z dotacji</w:t>
                  </w:r>
                </w:p>
              </w:tc>
              <w:tc>
                <w:tcPr>
                  <w:tcW w:w="1769" w:type="dxa"/>
                </w:tcPr>
                <w:p w:rsidR="002A24A0" w:rsidRPr="00E65B8B" w:rsidRDefault="007E258B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5.104.216,28</w:t>
                  </w:r>
                </w:p>
              </w:tc>
              <w:tc>
                <w:tcPr>
                  <w:tcW w:w="1628" w:type="dxa"/>
                </w:tcPr>
                <w:p w:rsidR="002A24A0" w:rsidRPr="00E65B8B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4A0" w:rsidRPr="00035F99" w:rsidTr="00E424E0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Pomniejszenie o niewypłacone nagrody roczne</w:t>
                  </w:r>
                </w:p>
              </w:tc>
              <w:tc>
                <w:tcPr>
                  <w:tcW w:w="1769" w:type="dxa"/>
                </w:tcPr>
                <w:p w:rsidR="002A24A0" w:rsidRPr="00E65B8B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28" w:type="dxa"/>
                </w:tcPr>
                <w:p w:rsidR="002A24A0" w:rsidRPr="00E65B8B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4A0" w:rsidRPr="00035F99" w:rsidTr="00E424E0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Pomniejszenie o niezapłacone składki ZUS</w:t>
                  </w:r>
                </w:p>
              </w:tc>
              <w:tc>
                <w:tcPr>
                  <w:tcW w:w="1769" w:type="dxa"/>
                </w:tcPr>
                <w:p w:rsidR="002A24A0" w:rsidRPr="00E65B8B" w:rsidRDefault="00580BBD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28" w:type="dxa"/>
                </w:tcPr>
                <w:p w:rsidR="002A24A0" w:rsidRPr="00E65B8B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4A0" w:rsidRPr="00035F99" w:rsidTr="00334501">
              <w:trPr>
                <w:trHeight w:val="315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Dochód</w:t>
                  </w:r>
                </w:p>
              </w:tc>
              <w:tc>
                <w:tcPr>
                  <w:tcW w:w="1769" w:type="dxa"/>
                </w:tcPr>
                <w:p w:rsidR="00E424E0" w:rsidRPr="00E65B8B" w:rsidRDefault="00E424E0" w:rsidP="00E424E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28" w:type="dxa"/>
                </w:tcPr>
                <w:p w:rsidR="002A24A0" w:rsidRPr="00E65B8B" w:rsidRDefault="007E258B" w:rsidP="00383A44">
                  <w:pPr>
                    <w:tabs>
                      <w:tab w:val="center" w:pos="706"/>
                      <w:tab w:val="right" w:pos="1412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5.194.503,98</w:t>
                  </w:r>
                </w:p>
              </w:tc>
            </w:tr>
          </w:tbl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7222" w:rsidRDefault="00BB7222" w:rsidP="00CC17D3">
      <w:pPr>
        <w:pStyle w:val="Standard"/>
        <w:widowControl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34501" w:rsidRDefault="00334501" w:rsidP="00CC17D3">
      <w:pPr>
        <w:pStyle w:val="Standard"/>
        <w:widowControl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B7222" w:rsidRPr="00CC17D3" w:rsidRDefault="009E1392" w:rsidP="009E1392">
      <w:pPr>
        <w:pStyle w:val="Standard"/>
        <w:widowControl w:val="0"/>
        <w:spacing w:line="36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Agnieszka </w:t>
      </w:r>
      <w:proofErr w:type="spellStart"/>
      <w:r>
        <w:rPr>
          <w:rFonts w:ascii="Arial" w:hAnsi="Arial" w:cs="Arial"/>
          <w:sz w:val="16"/>
          <w:szCs w:val="16"/>
        </w:rPr>
        <w:t>Mrzyczek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383A44">
        <w:rPr>
          <w:rFonts w:ascii="Arial" w:hAnsi="Arial" w:cs="Arial"/>
          <w:sz w:val="16"/>
          <w:szCs w:val="16"/>
        </w:rPr>
        <w:t>2</w:t>
      </w:r>
      <w:r w:rsidR="00F17EDE">
        <w:rPr>
          <w:rFonts w:ascii="Arial" w:hAnsi="Arial" w:cs="Arial"/>
          <w:sz w:val="16"/>
          <w:szCs w:val="16"/>
        </w:rPr>
        <w:t>7</w:t>
      </w:r>
      <w:r w:rsidR="00CC17D3" w:rsidRPr="00CC17D3">
        <w:rPr>
          <w:rFonts w:ascii="Arial" w:hAnsi="Arial" w:cs="Arial"/>
          <w:sz w:val="16"/>
          <w:szCs w:val="16"/>
        </w:rPr>
        <w:t>-03-202</w:t>
      </w:r>
      <w:r w:rsidR="00792556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Dagmara </w:t>
      </w:r>
      <w:proofErr w:type="spellStart"/>
      <w:r>
        <w:rPr>
          <w:rFonts w:ascii="Arial" w:hAnsi="Arial" w:cs="Arial"/>
          <w:sz w:val="16"/>
          <w:szCs w:val="16"/>
        </w:rPr>
        <w:t>Gawryszek</w:t>
      </w:r>
      <w:proofErr w:type="spellEnd"/>
    </w:p>
    <w:p w:rsidR="0087629E" w:rsidRDefault="0087629E" w:rsidP="0087629E">
      <w:pPr>
        <w:widowControl/>
        <w:suppressAutoHyphens w:val="0"/>
        <w:autoSpaceDN/>
        <w:textAlignment w:val="auto"/>
        <w:rPr>
          <w:rFonts w:ascii="Arial" w:eastAsia="Times New Roman" w:hAnsi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>…………………………………………………………….</w:t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  <w:t xml:space="preserve">          …………………………………………………………….</w:t>
      </w:r>
    </w:p>
    <w:p w:rsidR="0087629E" w:rsidRDefault="0087629E" w:rsidP="0087629E">
      <w:pPr>
        <w:widowControl/>
        <w:suppressAutoHyphens w:val="0"/>
        <w:autoSpaceDN/>
        <w:textAlignment w:val="auto"/>
        <w:rPr>
          <w:rFonts w:ascii="Arial" w:eastAsia="Times New Roman" w:hAnsi="Arial"/>
          <w:kern w:val="0"/>
          <w:sz w:val="16"/>
          <w:szCs w:val="16"/>
          <w:lang w:eastAsia="pl-PL" w:bidi="ar-SA"/>
        </w:rPr>
      </w:pPr>
      <w:r w:rsidRPr="0087629E">
        <w:rPr>
          <w:rFonts w:ascii="Arial" w:eastAsia="Times New Roman" w:hAnsi="Arial"/>
          <w:kern w:val="0"/>
          <w:sz w:val="16"/>
          <w:szCs w:val="16"/>
          <w:lang w:eastAsia="pl-PL" w:bidi="ar-SA"/>
        </w:rPr>
        <w:lastRenderedPageBreak/>
        <w:t>Główny Księgowy Centrum Usług Wspólnych Miasta Tychy</w:t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  <w:t xml:space="preserve">           </w:t>
      </w:r>
      <w:r w:rsidRPr="0087629E">
        <w:rPr>
          <w:rFonts w:ascii="Arial" w:eastAsia="Times New Roman" w:hAnsi="Arial"/>
          <w:kern w:val="0"/>
          <w:sz w:val="16"/>
          <w:szCs w:val="16"/>
          <w:lang w:eastAsia="pl-PL" w:bidi="ar-SA"/>
        </w:rPr>
        <w:t>Dyrektor Centrum Usług Wspólnych Miasta Tychy</w:t>
      </w:r>
    </w:p>
    <w:sectPr w:rsidR="0087629E" w:rsidSect="001F7375">
      <w:pgSz w:w="11920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2C" w:rsidRDefault="00D6082C">
      <w:r>
        <w:separator/>
      </w:r>
    </w:p>
  </w:endnote>
  <w:endnote w:type="continuationSeparator" w:id="0">
    <w:p w:rsidR="00D6082C" w:rsidRDefault="00D6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auto"/>
    <w:pitch w:val="variable"/>
    <w:sig w:usb0="00000000" w:usb1="00000000" w:usb2="00000000" w:usb3="00000000" w:csb0="00000000" w:csb1="00000000"/>
  </w:font>
  <w:font w:name="Times New Roman Gree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2C" w:rsidRDefault="00D6082C">
      <w:r>
        <w:rPr>
          <w:color w:val="000000"/>
        </w:rPr>
        <w:separator/>
      </w:r>
    </w:p>
  </w:footnote>
  <w:footnote w:type="continuationSeparator" w:id="0">
    <w:p w:rsidR="00D6082C" w:rsidRDefault="00D60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471"/>
    <w:multiLevelType w:val="hybridMultilevel"/>
    <w:tmpl w:val="CCB86984"/>
    <w:lvl w:ilvl="0" w:tplc="DB1078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EE4AFF"/>
    <w:multiLevelType w:val="hybridMultilevel"/>
    <w:tmpl w:val="CE6ECAC2"/>
    <w:lvl w:ilvl="0" w:tplc="DB1078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4C0C"/>
    <w:rsid w:val="0000482B"/>
    <w:rsid w:val="00011C4D"/>
    <w:rsid w:val="00017EE8"/>
    <w:rsid w:val="00035F99"/>
    <w:rsid w:val="00036022"/>
    <w:rsid w:val="00044C0C"/>
    <w:rsid w:val="0007306A"/>
    <w:rsid w:val="00096DEA"/>
    <w:rsid w:val="000B432D"/>
    <w:rsid w:val="000C0E9D"/>
    <w:rsid w:val="000C4851"/>
    <w:rsid w:val="000D0695"/>
    <w:rsid w:val="000D75E4"/>
    <w:rsid w:val="000E4929"/>
    <w:rsid w:val="000E66D7"/>
    <w:rsid w:val="000F1463"/>
    <w:rsid w:val="000F764A"/>
    <w:rsid w:val="001441A4"/>
    <w:rsid w:val="00155AE2"/>
    <w:rsid w:val="001766D9"/>
    <w:rsid w:val="001852AF"/>
    <w:rsid w:val="00186797"/>
    <w:rsid w:val="00187371"/>
    <w:rsid w:val="00187D38"/>
    <w:rsid w:val="001A0CD7"/>
    <w:rsid w:val="001A536C"/>
    <w:rsid w:val="001D5E16"/>
    <w:rsid w:val="001F7375"/>
    <w:rsid w:val="002071D3"/>
    <w:rsid w:val="0021612A"/>
    <w:rsid w:val="002200CB"/>
    <w:rsid w:val="002334C0"/>
    <w:rsid w:val="00244944"/>
    <w:rsid w:val="00251931"/>
    <w:rsid w:val="002640FA"/>
    <w:rsid w:val="00281D36"/>
    <w:rsid w:val="002A24A0"/>
    <w:rsid w:val="002B4DB2"/>
    <w:rsid w:val="002B790D"/>
    <w:rsid w:val="002C6524"/>
    <w:rsid w:val="002E4B66"/>
    <w:rsid w:val="002E61BC"/>
    <w:rsid w:val="003129D8"/>
    <w:rsid w:val="003133C4"/>
    <w:rsid w:val="003151C1"/>
    <w:rsid w:val="00324007"/>
    <w:rsid w:val="00334501"/>
    <w:rsid w:val="0035521E"/>
    <w:rsid w:val="00374E78"/>
    <w:rsid w:val="00377795"/>
    <w:rsid w:val="0038386E"/>
    <w:rsid w:val="00383A44"/>
    <w:rsid w:val="00385419"/>
    <w:rsid w:val="00386093"/>
    <w:rsid w:val="00390679"/>
    <w:rsid w:val="003937F2"/>
    <w:rsid w:val="003A5473"/>
    <w:rsid w:val="003C4CCF"/>
    <w:rsid w:val="003E796E"/>
    <w:rsid w:val="003F57EE"/>
    <w:rsid w:val="00411C97"/>
    <w:rsid w:val="00424905"/>
    <w:rsid w:val="00453E5D"/>
    <w:rsid w:val="00456CED"/>
    <w:rsid w:val="00460E15"/>
    <w:rsid w:val="00461A8F"/>
    <w:rsid w:val="00463530"/>
    <w:rsid w:val="00470C7B"/>
    <w:rsid w:val="004816EB"/>
    <w:rsid w:val="004A6430"/>
    <w:rsid w:val="004B5B26"/>
    <w:rsid w:val="004D3BA6"/>
    <w:rsid w:val="004D7C6B"/>
    <w:rsid w:val="0052265A"/>
    <w:rsid w:val="00525E12"/>
    <w:rsid w:val="0054720D"/>
    <w:rsid w:val="005508B8"/>
    <w:rsid w:val="00550EAF"/>
    <w:rsid w:val="005556E5"/>
    <w:rsid w:val="005611C2"/>
    <w:rsid w:val="00561659"/>
    <w:rsid w:val="00574AB7"/>
    <w:rsid w:val="00580BBD"/>
    <w:rsid w:val="00590562"/>
    <w:rsid w:val="005B5ABC"/>
    <w:rsid w:val="005E10FB"/>
    <w:rsid w:val="005E3C05"/>
    <w:rsid w:val="005E7E07"/>
    <w:rsid w:val="00606B8F"/>
    <w:rsid w:val="00611EBF"/>
    <w:rsid w:val="006143FF"/>
    <w:rsid w:val="006374EB"/>
    <w:rsid w:val="006506E4"/>
    <w:rsid w:val="006523B0"/>
    <w:rsid w:val="00653A50"/>
    <w:rsid w:val="0066113A"/>
    <w:rsid w:val="006760C8"/>
    <w:rsid w:val="00680915"/>
    <w:rsid w:val="00682E23"/>
    <w:rsid w:val="00695AC3"/>
    <w:rsid w:val="0069760E"/>
    <w:rsid w:val="006A02B6"/>
    <w:rsid w:val="006A36F8"/>
    <w:rsid w:val="006B4438"/>
    <w:rsid w:val="006F0B4F"/>
    <w:rsid w:val="006F1100"/>
    <w:rsid w:val="006F7132"/>
    <w:rsid w:val="007008E6"/>
    <w:rsid w:val="007038C4"/>
    <w:rsid w:val="00710BA3"/>
    <w:rsid w:val="00716DB6"/>
    <w:rsid w:val="007204B1"/>
    <w:rsid w:val="00772D2D"/>
    <w:rsid w:val="007866AE"/>
    <w:rsid w:val="007877D2"/>
    <w:rsid w:val="00790BF9"/>
    <w:rsid w:val="00792556"/>
    <w:rsid w:val="007A5325"/>
    <w:rsid w:val="007A5949"/>
    <w:rsid w:val="007B6720"/>
    <w:rsid w:val="007D1FF5"/>
    <w:rsid w:val="007E0C1C"/>
    <w:rsid w:val="007E258B"/>
    <w:rsid w:val="0080047C"/>
    <w:rsid w:val="00801FDE"/>
    <w:rsid w:val="00820B08"/>
    <w:rsid w:val="00820C89"/>
    <w:rsid w:val="00834EAA"/>
    <w:rsid w:val="00837F04"/>
    <w:rsid w:val="00841B20"/>
    <w:rsid w:val="00841ECB"/>
    <w:rsid w:val="008553EA"/>
    <w:rsid w:val="008669EF"/>
    <w:rsid w:val="0087629E"/>
    <w:rsid w:val="008834C4"/>
    <w:rsid w:val="00893A5E"/>
    <w:rsid w:val="00897A2A"/>
    <w:rsid w:val="008C233D"/>
    <w:rsid w:val="008C2456"/>
    <w:rsid w:val="008D219A"/>
    <w:rsid w:val="008E72DE"/>
    <w:rsid w:val="008F7775"/>
    <w:rsid w:val="00914FB7"/>
    <w:rsid w:val="009164A5"/>
    <w:rsid w:val="00922A6A"/>
    <w:rsid w:val="00922FF7"/>
    <w:rsid w:val="00924FBF"/>
    <w:rsid w:val="00942A50"/>
    <w:rsid w:val="00954AF9"/>
    <w:rsid w:val="00957BE9"/>
    <w:rsid w:val="00965288"/>
    <w:rsid w:val="009724AA"/>
    <w:rsid w:val="00993C56"/>
    <w:rsid w:val="009C0801"/>
    <w:rsid w:val="009E1392"/>
    <w:rsid w:val="00A22F03"/>
    <w:rsid w:val="00A63EE6"/>
    <w:rsid w:val="00A65976"/>
    <w:rsid w:val="00AC2FC5"/>
    <w:rsid w:val="00AD394A"/>
    <w:rsid w:val="00B20149"/>
    <w:rsid w:val="00B26F17"/>
    <w:rsid w:val="00B526AC"/>
    <w:rsid w:val="00B722B3"/>
    <w:rsid w:val="00B7326F"/>
    <w:rsid w:val="00B74958"/>
    <w:rsid w:val="00B82168"/>
    <w:rsid w:val="00B877DE"/>
    <w:rsid w:val="00B92620"/>
    <w:rsid w:val="00B97E01"/>
    <w:rsid w:val="00BB7222"/>
    <w:rsid w:val="00BB7710"/>
    <w:rsid w:val="00BD02C9"/>
    <w:rsid w:val="00BD0A7C"/>
    <w:rsid w:val="00BD2547"/>
    <w:rsid w:val="00C1014E"/>
    <w:rsid w:val="00C36D5D"/>
    <w:rsid w:val="00C66542"/>
    <w:rsid w:val="00C92057"/>
    <w:rsid w:val="00C92201"/>
    <w:rsid w:val="00CA3E87"/>
    <w:rsid w:val="00CB42D2"/>
    <w:rsid w:val="00CC17D3"/>
    <w:rsid w:val="00CE0240"/>
    <w:rsid w:val="00CE1D1D"/>
    <w:rsid w:val="00CE5916"/>
    <w:rsid w:val="00CF6713"/>
    <w:rsid w:val="00CF75ED"/>
    <w:rsid w:val="00CF798E"/>
    <w:rsid w:val="00D05B10"/>
    <w:rsid w:val="00D06F83"/>
    <w:rsid w:val="00D07D26"/>
    <w:rsid w:val="00D319DE"/>
    <w:rsid w:val="00D410FF"/>
    <w:rsid w:val="00D42D2C"/>
    <w:rsid w:val="00D4302A"/>
    <w:rsid w:val="00D44238"/>
    <w:rsid w:val="00D44F63"/>
    <w:rsid w:val="00D46042"/>
    <w:rsid w:val="00D527A5"/>
    <w:rsid w:val="00D6082C"/>
    <w:rsid w:val="00D800E5"/>
    <w:rsid w:val="00DB66E2"/>
    <w:rsid w:val="00DF6459"/>
    <w:rsid w:val="00E06298"/>
    <w:rsid w:val="00E13AB6"/>
    <w:rsid w:val="00E20FA0"/>
    <w:rsid w:val="00E232DD"/>
    <w:rsid w:val="00E246D0"/>
    <w:rsid w:val="00E40AAF"/>
    <w:rsid w:val="00E424E0"/>
    <w:rsid w:val="00E517E9"/>
    <w:rsid w:val="00E579F1"/>
    <w:rsid w:val="00E65B8B"/>
    <w:rsid w:val="00E6662E"/>
    <w:rsid w:val="00ED21CC"/>
    <w:rsid w:val="00EF5F1B"/>
    <w:rsid w:val="00F03AAF"/>
    <w:rsid w:val="00F04D17"/>
    <w:rsid w:val="00F17EDE"/>
    <w:rsid w:val="00F22BCF"/>
    <w:rsid w:val="00F43494"/>
    <w:rsid w:val="00F50651"/>
    <w:rsid w:val="00F556C5"/>
    <w:rsid w:val="00F62BC9"/>
    <w:rsid w:val="00F648FF"/>
    <w:rsid w:val="00F667E7"/>
    <w:rsid w:val="00F70106"/>
    <w:rsid w:val="00F73425"/>
    <w:rsid w:val="00F75DAA"/>
    <w:rsid w:val="00F772EF"/>
    <w:rsid w:val="00F81137"/>
    <w:rsid w:val="00F85801"/>
    <w:rsid w:val="00FB0A4D"/>
    <w:rsid w:val="00FB4818"/>
    <w:rsid w:val="00FC7F7E"/>
    <w:rsid w:val="00FE3EC9"/>
    <w:rsid w:val="00F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F7375"/>
    <w:pPr>
      <w:suppressAutoHyphens/>
    </w:pPr>
  </w:style>
  <w:style w:type="paragraph" w:styleId="Nagwek7">
    <w:name w:val="heading 7"/>
    <w:basedOn w:val="Normalny"/>
    <w:next w:val="Normalny"/>
    <w:rsid w:val="001F7375"/>
    <w:pPr>
      <w:keepNext/>
      <w:widowControl/>
      <w:suppressAutoHyphens w:val="0"/>
      <w:spacing w:line="360" w:lineRule="auto"/>
      <w:jc w:val="both"/>
      <w:textAlignment w:val="auto"/>
      <w:outlineLvl w:val="6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375"/>
    <w:pPr>
      <w:widowControl/>
      <w:suppressAutoHyphens/>
      <w:textAlignment w:val="auto"/>
    </w:pPr>
    <w:rPr>
      <w:rFonts w:ascii="Times New Roman" w:eastAsia="Times New Roman Cyr" w:hAnsi="Times New Roman" w:cs="Times New Roman Greek"/>
      <w:lang w:eastAsia="pl-PL"/>
    </w:rPr>
  </w:style>
  <w:style w:type="paragraph" w:customStyle="1" w:styleId="Heading">
    <w:name w:val="Heading"/>
    <w:basedOn w:val="Standard"/>
    <w:next w:val="Textbody"/>
    <w:rsid w:val="001F73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F7375"/>
    <w:pPr>
      <w:spacing w:after="140" w:line="276" w:lineRule="auto"/>
    </w:pPr>
  </w:style>
  <w:style w:type="paragraph" w:styleId="Lista">
    <w:name w:val="List"/>
    <w:basedOn w:val="Textbody"/>
    <w:rsid w:val="001F7375"/>
    <w:rPr>
      <w:rFonts w:cs="Arial"/>
    </w:rPr>
  </w:style>
  <w:style w:type="paragraph" w:styleId="Legenda">
    <w:name w:val="caption"/>
    <w:basedOn w:val="Standard"/>
    <w:rsid w:val="001F737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1F7375"/>
    <w:pPr>
      <w:suppressLineNumbers/>
    </w:pPr>
    <w:rPr>
      <w:rFonts w:cs="Arial"/>
    </w:rPr>
  </w:style>
  <w:style w:type="paragraph" w:customStyle="1" w:styleId="DocumentMap">
    <w:name w:val="DocumentMap"/>
    <w:rsid w:val="001F7375"/>
    <w:pPr>
      <w:widowControl/>
      <w:suppressAutoHyphens/>
      <w:textAlignment w:val="auto"/>
    </w:pPr>
    <w:rPr>
      <w:rFonts w:ascii="Times New Roman" w:eastAsia="Times New Roman Cyr" w:hAnsi="Times New Roman" w:cs="Times New Roman Greek"/>
      <w:sz w:val="20"/>
      <w:lang w:eastAsia="pl-PL"/>
    </w:rPr>
  </w:style>
  <w:style w:type="paragraph" w:styleId="Akapitzlist">
    <w:name w:val="List Paragraph"/>
    <w:basedOn w:val="Normalny"/>
    <w:rsid w:val="001F7375"/>
    <w:pPr>
      <w:widowControl/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7Znak">
    <w:name w:val="Nagłówek 7 Znak"/>
    <w:basedOn w:val="Domylnaczcionkaakapitu"/>
    <w:rsid w:val="001F7375"/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TableContents">
    <w:name w:val="Table Contents"/>
    <w:basedOn w:val="Standard"/>
    <w:rsid w:val="001F7375"/>
    <w:pPr>
      <w:suppressLineNumbers/>
      <w:textAlignment w:val="baseline"/>
    </w:pPr>
    <w:rPr>
      <w:rFonts w:ascii="Liberation Serif" w:eastAsia="SimSun" w:hAnsi="Liberation Serif" w:cs="Arial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2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2AF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54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54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542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69760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5C98-56FE-4BE7-803F-A9715B2E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j.borkowski</dc:creator>
  <cp:lastModifiedBy>ilukaszek</cp:lastModifiedBy>
  <cp:revision>2</cp:revision>
  <cp:lastPrinted>2024-03-27T07:21:00Z</cp:lastPrinted>
  <dcterms:created xsi:type="dcterms:W3CDTF">2024-04-04T06:57:00Z</dcterms:created>
  <dcterms:modified xsi:type="dcterms:W3CDTF">2024-04-04T06:57:00Z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Wydawnictwo Podatkowe GOFIN sp. z o.o.</vt:lpwstr>
  </property>
  <property fmtid="{D5CDD505-2E9C-101B-9397-08002B2CF9AE}" pid="3" name="Operator">
    <vt:lpwstr>k.adamus</vt:lpwstr>
  </property>
</Properties>
</file>