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Załącznik Nr </w:t>
      </w:r>
      <w:r>
        <w:rPr>
          <w:rFonts w:ascii="Arial" w:hAnsi="Arial" w:cs="Arial"/>
          <w:b/>
          <w:color w:val="2E2014"/>
          <w:sz w:val="12"/>
          <w:szCs w:val="12"/>
        </w:rPr>
        <w:t>3</w:t>
      </w:r>
    </w:p>
    <w:p w:rsidR="009164A5" w:rsidRPr="00D44F63" w:rsidRDefault="00D44F63" w:rsidP="009164A5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do Zarządzenia Nr </w:t>
      </w:r>
      <w:r w:rsidR="008C2456">
        <w:rPr>
          <w:rFonts w:ascii="Arial" w:hAnsi="Arial" w:cs="Arial"/>
          <w:b/>
          <w:color w:val="2E2014"/>
          <w:sz w:val="12"/>
          <w:szCs w:val="12"/>
        </w:rPr>
        <w:t>0050/</w:t>
      </w:r>
      <w:r w:rsidR="006D1024">
        <w:rPr>
          <w:rFonts w:ascii="Arial" w:hAnsi="Arial" w:cs="Arial"/>
          <w:b/>
          <w:color w:val="2E2014"/>
          <w:sz w:val="12"/>
          <w:szCs w:val="12"/>
        </w:rPr>
        <w:t>122</w:t>
      </w:r>
      <w:r w:rsidR="008C2456">
        <w:rPr>
          <w:rFonts w:ascii="Arial" w:hAnsi="Arial" w:cs="Arial"/>
          <w:b/>
          <w:color w:val="2E2014"/>
          <w:sz w:val="12"/>
          <w:szCs w:val="12"/>
        </w:rPr>
        <w:t>/2</w:t>
      </w:r>
      <w:r w:rsidR="00981DAF">
        <w:rPr>
          <w:rFonts w:ascii="Arial" w:hAnsi="Arial" w:cs="Arial"/>
          <w:b/>
          <w:color w:val="2E2014"/>
          <w:sz w:val="12"/>
          <w:szCs w:val="12"/>
        </w:rPr>
        <w:t>4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>Prezydenta Miasta Tychy</w:t>
      </w:r>
    </w:p>
    <w:p w:rsidR="00D44F63" w:rsidRPr="00D44F63" w:rsidRDefault="00D44F63" w:rsidP="00D44F63">
      <w:pPr>
        <w:pStyle w:val="Standard"/>
        <w:jc w:val="right"/>
        <w:rPr>
          <w:rFonts w:ascii="Arial" w:hAnsi="Arial" w:cs="Arial"/>
          <w:b/>
          <w:color w:val="2E2014"/>
          <w:sz w:val="12"/>
          <w:szCs w:val="12"/>
        </w:rPr>
      </w:pPr>
      <w:r w:rsidRPr="00D44F63">
        <w:rPr>
          <w:rFonts w:ascii="Arial" w:hAnsi="Arial" w:cs="Arial"/>
          <w:b/>
          <w:color w:val="2E2014"/>
          <w:sz w:val="12"/>
          <w:szCs w:val="12"/>
        </w:rPr>
        <w:t xml:space="preserve">z dnia </w:t>
      </w:r>
      <w:r w:rsidR="006D1024">
        <w:rPr>
          <w:rFonts w:ascii="Arial" w:hAnsi="Arial" w:cs="Arial"/>
          <w:b/>
          <w:color w:val="2E2014"/>
          <w:sz w:val="12"/>
          <w:szCs w:val="12"/>
        </w:rPr>
        <w:t>29</w:t>
      </w:r>
      <w:r w:rsidR="008C2456">
        <w:rPr>
          <w:rFonts w:ascii="Arial" w:hAnsi="Arial" w:cs="Arial"/>
          <w:b/>
          <w:color w:val="2E2014"/>
          <w:sz w:val="12"/>
          <w:szCs w:val="12"/>
        </w:rPr>
        <w:t xml:space="preserve"> marca </w:t>
      </w:r>
      <w:r w:rsidR="00A63EE6">
        <w:rPr>
          <w:rFonts w:ascii="Arial" w:hAnsi="Arial" w:cs="Arial"/>
          <w:b/>
          <w:color w:val="2E2014"/>
          <w:sz w:val="12"/>
          <w:szCs w:val="12"/>
        </w:rPr>
        <w:t xml:space="preserve"> 202</w:t>
      </w:r>
      <w:r w:rsidR="00981DAF">
        <w:rPr>
          <w:rFonts w:ascii="Arial" w:hAnsi="Arial" w:cs="Arial"/>
          <w:b/>
          <w:color w:val="2E2014"/>
          <w:sz w:val="12"/>
          <w:szCs w:val="12"/>
        </w:rPr>
        <w:t>4</w:t>
      </w:r>
    </w:p>
    <w:p w:rsidR="00044C0C" w:rsidRDefault="00155AE2" w:rsidP="008669EF">
      <w:pPr>
        <w:pStyle w:val="Standard"/>
        <w:spacing w:line="360" w:lineRule="auto"/>
        <w:ind w:left="3673" w:right="3653"/>
        <w:jc w:val="center"/>
        <w:rPr>
          <w:rFonts w:ascii="Arial" w:hAnsi="Arial" w:cs="Arial"/>
          <w:b/>
          <w:color w:val="2E2014"/>
          <w:sz w:val="22"/>
          <w:szCs w:val="22"/>
        </w:rPr>
      </w:pPr>
      <w:r>
        <w:rPr>
          <w:rFonts w:ascii="Arial" w:hAnsi="Arial" w:cs="Arial"/>
          <w:b/>
          <w:color w:val="2E2014"/>
          <w:sz w:val="22"/>
          <w:szCs w:val="22"/>
        </w:rPr>
        <w:t>INFORMACJA DODATKOWA</w:t>
      </w:r>
      <w:r w:rsidR="008669EF">
        <w:rPr>
          <w:rFonts w:ascii="Arial" w:hAnsi="Arial" w:cs="Arial"/>
          <w:b/>
          <w:color w:val="2E2014"/>
          <w:sz w:val="22"/>
          <w:szCs w:val="22"/>
        </w:rPr>
        <w:t xml:space="preserve"> </w:t>
      </w:r>
    </w:p>
    <w:p w:rsidR="00922A6A" w:rsidRPr="009164A5" w:rsidRDefault="00922A6A" w:rsidP="008669EF">
      <w:pPr>
        <w:pStyle w:val="Standard"/>
        <w:spacing w:line="360" w:lineRule="auto"/>
        <w:ind w:left="3673" w:right="3653"/>
        <w:jc w:val="center"/>
        <w:rPr>
          <w:sz w:val="20"/>
          <w:szCs w:val="20"/>
        </w:rPr>
      </w:pPr>
    </w:p>
    <w:tbl>
      <w:tblPr>
        <w:tblW w:w="9781" w:type="dxa"/>
        <w:tblInd w:w="2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9214"/>
      </w:tblGrid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6" w:right="-23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Wprowadzenie do sprawozdania finansowego, obejmuje w szczególności: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AUKSO Orkiestra Kameralna Miasta Tychy jest instytucją kultury działającą od 1 kwietnia 2016 r. na podstawie Uchwały Nr XVIII / 299 / 16 Rady Miasta Tychy z dnia 28 stycznia 2016 r</w:t>
            </w:r>
            <w:r w:rsidR="00E579F1">
              <w:rPr>
                <w:rFonts w:ascii="Arial" w:hAnsi="Arial"/>
                <w:sz w:val="22"/>
                <w:szCs w:val="22"/>
              </w:rPr>
              <w:t>oku.</w:t>
            </w: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Podstawowym przedmiotem działalności instytucji jest działalność kulturalna poprzez rozwijanie i zaspakajanie potrzeb społeczeństwa w zakresie kultury muzycznej; ukazywanie bogactwa muzyki polskiej oraz światowej, a także upowszechnianie współczesnej twórczości muzycznej; organizowanie koncertów; dążenie do osiągania jak najwyższego poziomu</w:t>
            </w:r>
            <w:r w:rsidR="00377795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programu artystycznego; organizacja reprezentatywnych programów artystycznych; prowadzenie współpracy kulturalnej z zagranicą; prowadzenie działalności promocyjnej</w:t>
            </w:r>
            <w:r w:rsidR="00E579F1">
              <w:rPr>
                <w:rFonts w:ascii="Arial" w:hAnsi="Arial"/>
                <w:sz w:val="22"/>
                <w:szCs w:val="22"/>
              </w:rPr>
              <w:t>.</w:t>
            </w: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AUKSO Orkiestra Kameralna Miasta Tychy jest zarejestrowana jako instytucja kultury w Rejestrze Instytucji Kultury prowadzonym przez organizatora.</w:t>
            </w:r>
          </w:p>
          <w:p w:rsidR="00D800E5" w:rsidRPr="00D800E5" w:rsidRDefault="00D800E5" w:rsidP="00E579F1">
            <w:pPr>
              <w:pStyle w:val="Standard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0E5">
              <w:rPr>
                <w:rFonts w:ascii="Arial" w:hAnsi="Arial" w:cs="Arial"/>
                <w:sz w:val="22"/>
                <w:szCs w:val="22"/>
              </w:rPr>
              <w:t>Sprawozdanie finansowe zostało sporządzone przy założeniu kontynuacji działania i nie istnieją przesłanki wskazujące na zagrożenie tej działalności.</w:t>
            </w:r>
          </w:p>
          <w:p w:rsidR="00922A6A" w:rsidRPr="00E579F1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nazwę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AUKSO Orkiestra Kameralna Miasta Tychy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siedzibę jednostki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9F1"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1.3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adres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43-100 Tychy, al. Piłsudskiego 16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</w:t>
            </w:r>
            <w:r w:rsidR="00772D2D">
              <w:rPr>
                <w:rFonts w:ascii="Arial" w:hAnsi="Arial" w:cs="Arial"/>
                <w:b/>
                <w:color w:val="2E2014"/>
                <w:sz w:val="22"/>
                <w:szCs w:val="22"/>
              </w:rPr>
              <w:t>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podstawowy przedmiot działalności jednostki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Działalność związana z wystawianiem przedstawień artystycznych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 okresu objętego sprawozdaniem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37F04" w:rsidRDefault="00155AE2" w:rsidP="00837F04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0801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525E12">
              <w:rPr>
                <w:rFonts w:ascii="Arial" w:hAnsi="Arial" w:cs="Arial"/>
                <w:sz w:val="22"/>
                <w:szCs w:val="22"/>
              </w:rPr>
              <w:t>stycznia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9C0801" w:rsidRPr="009C0801">
              <w:rPr>
                <w:rFonts w:ascii="Arial" w:hAnsi="Arial" w:cs="Arial"/>
                <w:sz w:val="22"/>
                <w:szCs w:val="22"/>
              </w:rPr>
              <w:t>2</w:t>
            </w:r>
            <w:r w:rsidR="00C72BA1">
              <w:rPr>
                <w:rFonts w:ascii="Arial" w:hAnsi="Arial" w:cs="Arial"/>
                <w:sz w:val="22"/>
                <w:szCs w:val="22"/>
              </w:rPr>
              <w:t>3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– 31 grud</w:t>
            </w:r>
            <w:r w:rsidR="008553EA">
              <w:rPr>
                <w:rFonts w:ascii="Arial" w:hAnsi="Arial" w:cs="Arial"/>
                <w:sz w:val="22"/>
                <w:szCs w:val="22"/>
              </w:rPr>
              <w:t>nia</w:t>
            </w:r>
            <w:r w:rsidRPr="009C0801">
              <w:rPr>
                <w:rFonts w:ascii="Arial" w:hAnsi="Arial" w:cs="Arial"/>
                <w:sz w:val="22"/>
                <w:szCs w:val="22"/>
              </w:rPr>
              <w:t xml:space="preserve"> 20</w:t>
            </w:r>
            <w:r w:rsidR="00E232DD" w:rsidRPr="009C0801">
              <w:rPr>
                <w:rFonts w:ascii="Arial" w:hAnsi="Arial" w:cs="Arial"/>
                <w:sz w:val="22"/>
                <w:szCs w:val="22"/>
              </w:rPr>
              <w:t>2</w:t>
            </w:r>
            <w:r w:rsidR="00C72BA1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wskazanie, że sprawozdanie finansowe zawiera dane łączne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96" w:right="-23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omówienie przyjętych zasad (polityki) rachunkowości, w tym metod wyceny aktywów i pasywów (także amortyzacji)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Default="00922A6A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Default="00155AE2" w:rsidP="00E579F1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Sprawozdanie sporządza w wersji pełnej wykazując w nim składniki aktywów </w:t>
            </w:r>
            <w:r>
              <w:rPr>
                <w:rFonts w:ascii="Arial" w:hAnsi="Arial"/>
                <w:sz w:val="22"/>
                <w:szCs w:val="22"/>
              </w:rPr>
              <w:br/>
              <w:t>i pasywów zgodnie z art. 50 ust. 1 ustawy o rachunkowości oraz przy założeniu kontynuowania działalności kulturalnej.</w:t>
            </w:r>
          </w:p>
          <w:p w:rsidR="00044C0C" w:rsidRDefault="00155AE2" w:rsidP="00E579F1">
            <w:pPr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Wyceny aktywów i pasywów dokonuje wg zasad określonych w przepisach rozdziału   czwartego ustawy o rachunkowości; zgodnie z art. 28 ustawy o rachunkowości aktywa i pasywa wycenia się nie rzadziej niż na dzień bilansowy w sposób następujący: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trwałe oraz wartości niematerialne i prawne wg cen nabycia lub kosztu w</w:t>
            </w:r>
            <w:r w:rsidRPr="00E579F1">
              <w:rPr>
                <w:rFonts w:ascii="Arial" w:hAnsi="Arial"/>
                <w:sz w:val="22"/>
                <w:szCs w:val="22"/>
              </w:rPr>
              <w:t>y</w:t>
            </w:r>
            <w:r w:rsidRPr="00E579F1">
              <w:rPr>
                <w:rFonts w:ascii="Arial" w:hAnsi="Arial"/>
                <w:sz w:val="22"/>
                <w:szCs w:val="22"/>
              </w:rPr>
              <w:t>tworzenia, lub wartości przeszacowanej (po aktualizacji wyceny przeprowadzonej zgodnie z odrębnymi przepisami) w wartości początkowej pomniejszonych o odpisy amortyzacyjne lub umorzeniowe, a także o odpisy z tytułu trwałej utraty wartości z uwzględnieniem przepisów art. 31, art. 32 ust. 1-5 i art. 33 ust. 1 lub wg ceny ry</w:t>
            </w:r>
            <w:r w:rsidRPr="00E579F1">
              <w:rPr>
                <w:rFonts w:ascii="Arial" w:hAnsi="Arial"/>
                <w:sz w:val="22"/>
                <w:szCs w:val="22"/>
              </w:rPr>
              <w:t>n</w:t>
            </w:r>
            <w:r w:rsidRPr="00E579F1">
              <w:rPr>
                <w:rFonts w:ascii="Arial" w:hAnsi="Arial"/>
                <w:sz w:val="22"/>
                <w:szCs w:val="22"/>
              </w:rPr>
              <w:t>kowej; nie umarza się gruntów i dóbr kultury;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inwestycje (środki trwałe w budowie) w wysokości ogółu poniesionych kosztów p</w:t>
            </w:r>
            <w:r w:rsidRPr="00E579F1">
              <w:rPr>
                <w:rFonts w:ascii="Arial" w:hAnsi="Arial"/>
                <w:sz w:val="22"/>
                <w:szCs w:val="22"/>
              </w:rPr>
              <w:t>o</w:t>
            </w:r>
            <w:r w:rsidRPr="00E579F1">
              <w:rPr>
                <w:rFonts w:ascii="Arial" w:hAnsi="Arial"/>
                <w:sz w:val="22"/>
                <w:szCs w:val="22"/>
              </w:rPr>
              <w:t>zostających w bezpośrednim związku z ich nabyciem lub wytworzeniem pomnie</w:t>
            </w:r>
            <w:r w:rsidRPr="00E579F1">
              <w:rPr>
                <w:rFonts w:ascii="Arial" w:hAnsi="Arial"/>
                <w:sz w:val="22"/>
                <w:szCs w:val="22"/>
              </w:rPr>
              <w:t>j</w:t>
            </w:r>
            <w:r w:rsidRPr="00E579F1">
              <w:rPr>
                <w:rFonts w:ascii="Arial" w:hAnsi="Arial"/>
                <w:sz w:val="22"/>
                <w:szCs w:val="22"/>
              </w:rPr>
              <w:t>szone o odpisy z tytułu trwałej utraty wartości;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lastRenderedPageBreak/>
              <w:t xml:space="preserve">rzeczowe składniki aktywów obrotowych wg cen nabycia lub kosztów wytworzenia nie wyższych od cen ich sprzedaży netto na dzień bilansowy; do bilansu wycenia się wg wartości wynikającej z ewidencji; w </w:t>
            </w:r>
            <w:r w:rsidR="00F50651" w:rsidRPr="00E579F1">
              <w:rPr>
                <w:rFonts w:ascii="Arial" w:hAnsi="Arial"/>
                <w:sz w:val="22"/>
                <w:szCs w:val="22"/>
              </w:rPr>
              <w:t>jednostkach,</w:t>
            </w:r>
            <w:r w:rsidRPr="00E579F1">
              <w:rPr>
                <w:rFonts w:ascii="Arial" w:hAnsi="Arial"/>
                <w:sz w:val="22"/>
                <w:szCs w:val="22"/>
              </w:rPr>
              <w:t xml:space="preserve"> które prowadzą ewidencję zapasów wg cen ewidencyjnych i ewidencjonują odchylenia od cen zakupu, nabycia lub sprzedaży wartość zapasów na dzień bilansowy korygują odpowiednio o wartość o</w:t>
            </w:r>
            <w:r w:rsidR="002C6524">
              <w:rPr>
                <w:rFonts w:ascii="Arial" w:hAnsi="Arial"/>
                <w:sz w:val="22"/>
                <w:szCs w:val="22"/>
              </w:rPr>
              <w:t>dc</w:t>
            </w:r>
            <w:r w:rsidRPr="00E579F1">
              <w:rPr>
                <w:rFonts w:ascii="Arial" w:hAnsi="Arial"/>
                <w:sz w:val="22"/>
                <w:szCs w:val="22"/>
              </w:rPr>
              <w:t>hyleń;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należności w kwocie wymaganej zapłaty; jeżeli jednostka dokonała odpisów aktual</w:t>
            </w:r>
            <w:r w:rsidRPr="00E579F1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zacyjnych i wartość tych odpisów została ujęta na koncie 290, to należności wyc</w:t>
            </w:r>
            <w:r w:rsidRPr="00E579F1">
              <w:rPr>
                <w:rFonts w:ascii="Arial" w:hAnsi="Arial"/>
                <w:sz w:val="22"/>
                <w:szCs w:val="22"/>
              </w:rPr>
              <w:t>e</w:t>
            </w:r>
            <w:r w:rsidRPr="00E579F1">
              <w:rPr>
                <w:rFonts w:ascii="Arial" w:hAnsi="Arial"/>
                <w:sz w:val="22"/>
                <w:szCs w:val="22"/>
              </w:rPr>
              <w:t>nione na dzień bilansowy wykazuje się po pomniejszeniu o wartość odpisów;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zobowiązania w kwocie wymaganej zapłaty;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środki pieniężne wg wartości nominalnej;</w:t>
            </w:r>
          </w:p>
          <w:p w:rsidR="00044C0C" w:rsidRPr="00E579F1" w:rsidRDefault="00155AE2" w:rsidP="00E579F1">
            <w:pPr>
              <w:pStyle w:val="Akapitzlist"/>
              <w:numPr>
                <w:ilvl w:val="0"/>
                <w:numId w:val="1"/>
              </w:numPr>
              <w:ind w:right="142"/>
              <w:jc w:val="both"/>
              <w:rPr>
                <w:rFonts w:ascii="Arial" w:hAnsi="Arial"/>
                <w:sz w:val="22"/>
                <w:szCs w:val="22"/>
              </w:rPr>
            </w:pPr>
            <w:r w:rsidRPr="00E579F1">
              <w:rPr>
                <w:rFonts w:ascii="Arial" w:hAnsi="Arial"/>
                <w:sz w:val="22"/>
                <w:szCs w:val="22"/>
              </w:rPr>
              <w:t>fundusze oraz pozostałe aktywa i pasywa wycenia się wg wartości wynikającej z ew</w:t>
            </w:r>
            <w:r w:rsidR="002C6524">
              <w:rPr>
                <w:rFonts w:ascii="Arial" w:hAnsi="Arial"/>
                <w:sz w:val="22"/>
                <w:szCs w:val="22"/>
              </w:rPr>
              <w:t>i</w:t>
            </w:r>
            <w:r w:rsidRPr="00E579F1">
              <w:rPr>
                <w:rFonts w:ascii="Arial" w:hAnsi="Arial"/>
                <w:sz w:val="22"/>
                <w:szCs w:val="22"/>
              </w:rPr>
              <w:t>dencji księgowej.</w:t>
            </w:r>
          </w:p>
          <w:p w:rsidR="00044C0C" w:rsidRDefault="00155AE2" w:rsidP="00E579F1">
            <w:pPr>
              <w:pStyle w:val="Nagwek7"/>
              <w:spacing w:line="240" w:lineRule="auto"/>
              <w:ind w:left="142"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Stosownie do przepisu art. 4 ust. 4 ustawy o rachunkowości jednostka stosuje następujące uproszczenia: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zakupione składniki majątkowe trwałego użytku o przewidywanym okresie używania dłuższym niż rok i wartości początkowej poniżej 2.500 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zł są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zarachowywane w koszty i objęte ewidencją ilościową;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naliczenia umorzenia składników majątkowych trwałego użytku o wartości poniżej 10.000 zł. ujmowanych na koncie 013 dokonuje się w miesiącu oddania do używ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nia w 100 % ich wartości początkowej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środki trwałe o wartości powyżej 10.000 zł. są amortyzowane i umarzane na po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stawie miesięcznych odpisów przy zastosowaniu stawek umorzeniowych określ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nych w</w:t>
            </w:r>
            <w:r w:rsidR="00E579F1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przepisach podatkowych; </w:t>
            </w:r>
          </w:p>
          <w:p w:rsidR="00044C0C" w:rsidRDefault="00155AE2" w:rsidP="00E579F1">
            <w:pPr>
              <w:pStyle w:val="Nagwek7"/>
              <w:numPr>
                <w:ilvl w:val="0"/>
                <w:numId w:val="2"/>
              </w:numPr>
              <w:spacing w:line="240" w:lineRule="auto"/>
              <w:ind w:right="142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naliczone amortyzacja i umorzenie nie powodują zmian w funduszu jednostki.</w:t>
            </w:r>
          </w:p>
          <w:p w:rsidR="00922A6A" w:rsidRPr="00922A6A" w:rsidRDefault="00922A6A" w:rsidP="00922A6A">
            <w:pPr>
              <w:rPr>
                <w:lang w:eastAsia="pl-PL" w:bidi="ar-SA"/>
              </w:rPr>
            </w:pPr>
          </w:p>
        </w:tc>
      </w:tr>
      <w:tr w:rsidR="00044C0C" w:rsidRPr="00E579F1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center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E579F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2E2014"/>
                <w:sz w:val="22"/>
                <w:szCs w:val="22"/>
              </w:rPr>
            </w:pPr>
            <w:r w:rsidRPr="00E579F1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II.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</w:pPr>
            <w:r>
              <w:rPr>
                <w:rFonts w:ascii="Arial" w:hAnsi="Arial" w:cs="Arial"/>
                <w:b/>
                <w:color w:val="2E2014"/>
                <w:sz w:val="22"/>
                <w:szCs w:val="22"/>
              </w:rPr>
              <w:t>Dodatkowe informacje i objaśnienia obejmują w szczególności: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52265A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2265A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2265A" w:rsidRDefault="00155AE2" w:rsidP="00611EBF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szczegółowy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zakres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zmian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grup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rodzajowych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52265A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niematerialnych i prawnych, zawierający stan tych aktywów na początek roku obrotowego, zwiększenia i zmniejszenia z tytułu: aktualizacji wartości,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nabycia,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rozchodu,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przemieszczenia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wewnętrznego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końcowy,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</w:t>
            </w:r>
            <w:r w:rsidRPr="0052265A">
              <w:rPr>
                <w:rFonts w:ascii="Arial" w:hAnsi="Arial" w:cs="Arial"/>
                <w:b/>
                <w:color w:val="2E2014"/>
                <w:spacing w:val="-6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52265A">
              <w:rPr>
                <w:rFonts w:ascii="Arial" w:hAnsi="Arial" w:cs="Arial"/>
                <w:b/>
                <w:color w:val="2E2014"/>
                <w:spacing w:val="-7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amortyzowanego</w:t>
            </w:r>
            <w:r w:rsidR="00611EBF"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52265A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 podobne przedstawienie stanów i tytułów zmian dotychczasowej amortyzacji lub umorzenia</w:t>
            </w:r>
          </w:p>
        </w:tc>
      </w:tr>
      <w:tr w:rsidR="009164A5" w:rsidRPr="009164A5" w:rsidTr="00D800E5">
        <w:trPr>
          <w:trHeight w:val="4188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52265A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786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2888"/>
              <w:gridCol w:w="1559"/>
              <w:gridCol w:w="1431"/>
              <w:gridCol w:w="1261"/>
              <w:gridCol w:w="1647"/>
            </w:tblGrid>
            <w:tr w:rsidR="009164A5" w:rsidRPr="0052265A" w:rsidTr="00611EBF">
              <w:trPr>
                <w:trHeight w:val="216"/>
                <w:jc w:val="center"/>
              </w:trPr>
              <w:tc>
                <w:tcPr>
                  <w:tcW w:w="2888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Wyszczególnienie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Stan na początek roku</w:t>
                  </w:r>
                </w:p>
              </w:tc>
              <w:tc>
                <w:tcPr>
                  <w:tcW w:w="269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E579F1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Zmiany w trakcie roku</w:t>
                  </w:r>
                </w:p>
              </w:tc>
              <w:tc>
                <w:tcPr>
                  <w:tcW w:w="1647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right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33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Stan na koniec roku</w:t>
                  </w:r>
                </w:p>
              </w:tc>
            </w:tr>
            <w:tr w:rsidR="009164A5" w:rsidRPr="0052265A" w:rsidTr="00CE0240">
              <w:trPr>
                <w:trHeight w:val="173"/>
                <w:jc w:val="center"/>
              </w:trPr>
              <w:tc>
                <w:tcPr>
                  <w:tcW w:w="2888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40" w:right="4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Zwiększenia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Zmniejszenia</w:t>
                  </w:r>
                </w:p>
              </w:tc>
              <w:tc>
                <w:tcPr>
                  <w:tcW w:w="1647" w:type="dxa"/>
                  <w:vMerge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  <w:vAlign w:val="center"/>
                </w:tcPr>
                <w:p w:rsidR="00611EBF" w:rsidRPr="0052265A" w:rsidRDefault="00611EBF" w:rsidP="00611E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b/>
                      <w:sz w:val="18"/>
                      <w:szCs w:val="16"/>
                    </w:rPr>
                    <w:t>Grupa 4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044C0C" w:rsidP="00611EBF">
                  <w:pPr>
                    <w:pStyle w:val="TableContents"/>
                    <w:ind w:left="142"/>
                    <w:jc w:val="right"/>
                    <w:rPr>
                      <w:rFonts w:ascii="Arial" w:hAnsi="Arial"/>
                      <w:sz w:val="18"/>
                      <w:szCs w:val="16"/>
                    </w:rPr>
                  </w:pPr>
                </w:p>
              </w:tc>
            </w:tr>
            <w:tr w:rsidR="009164A5" w:rsidRPr="0052265A" w:rsidTr="00CE0240">
              <w:trPr>
                <w:trHeight w:val="342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155A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3.512,20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155AE2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3.512,20</w:t>
                  </w:r>
                </w:p>
              </w:tc>
            </w:tr>
            <w:tr w:rsidR="009164A5" w:rsidRPr="0052265A" w:rsidTr="00CE0240">
              <w:trPr>
                <w:trHeight w:val="294"/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01FDE" w:rsidRPr="001D50AF" w:rsidRDefault="00801FDE" w:rsidP="00B82168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3</w:t>
                  </w:r>
                  <w:r w:rsidR="00F75DAA"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.</w:t>
                  </w: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512,20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E232DD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3.512,2</w:t>
                  </w:r>
                  <w:r w:rsidR="00324007"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0</w:t>
                  </w: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801FD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0</w:t>
                  </w:r>
                  <w:r w:rsidR="005B5ABC"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,00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7204B1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0</w:t>
                  </w:r>
                  <w:r w:rsidR="005B5ABC"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,00</w:t>
                  </w: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b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b/>
                      <w:sz w:val="18"/>
                      <w:szCs w:val="16"/>
                    </w:rPr>
                    <w:t>Grupa 8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początkowa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981DA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527.729,52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9164A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527.729,52</w:t>
                  </w:r>
                </w:p>
              </w:tc>
            </w:tr>
            <w:tr w:rsidR="009164A5" w:rsidRPr="0052265A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Dotychczasowe umorzenie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267E0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171.939,04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981DAF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46.472,96</w:t>
                  </w: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924FBF">
                  <w:pPr>
                    <w:pStyle w:val="TableContents"/>
                    <w:ind w:left="142" w:right="142"/>
                    <w:jc w:val="center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5B5ABC" w:rsidRPr="001D50AF" w:rsidRDefault="00267E0E" w:rsidP="005B5ABC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218.412,00</w:t>
                  </w:r>
                </w:p>
              </w:tc>
            </w:tr>
            <w:tr w:rsidR="009164A5" w:rsidRPr="009F3D12" w:rsidTr="00CE0240">
              <w:trPr>
                <w:jc w:val="center"/>
              </w:trPr>
              <w:tc>
                <w:tcPr>
                  <w:tcW w:w="2888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52265A" w:rsidRDefault="00155AE2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16"/>
                    </w:rPr>
                  </w:pPr>
                  <w:r w:rsidRPr="0052265A">
                    <w:rPr>
                      <w:rFonts w:ascii="Arial" w:hAnsi="Arial"/>
                      <w:sz w:val="18"/>
                      <w:szCs w:val="16"/>
                    </w:rPr>
                    <w:t>Wartość netto</w:t>
                  </w:r>
                </w:p>
              </w:tc>
              <w:tc>
                <w:tcPr>
                  <w:tcW w:w="1559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267E0E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  <w:r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355.790,48</w:t>
                  </w:r>
                </w:p>
              </w:tc>
              <w:tc>
                <w:tcPr>
                  <w:tcW w:w="143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26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1D50AF" w:rsidRDefault="00044C0C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</w:pPr>
                </w:p>
              </w:tc>
              <w:tc>
                <w:tcPr>
                  <w:tcW w:w="164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044C0C" w:rsidRPr="009F3D12" w:rsidRDefault="00267E0E" w:rsidP="00D42D2C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16"/>
                      <w:highlight w:val="yellow"/>
                    </w:rPr>
                  </w:pPr>
                  <w:r w:rsidRPr="00267E0E">
                    <w:rPr>
                      <w:rFonts w:ascii="Arial" w:hAnsi="Arial"/>
                      <w:color w:val="000000" w:themeColor="text1"/>
                      <w:sz w:val="18"/>
                      <w:szCs w:val="16"/>
                    </w:rPr>
                    <w:t>309.317,52</w:t>
                  </w:r>
                </w:p>
              </w:tc>
            </w:tr>
          </w:tbl>
          <w:p w:rsidR="00044C0C" w:rsidRPr="0052265A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aktualną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rynkową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dóbr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kultury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–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ile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dysponuje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takimi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informacjami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dokonanych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trakcie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aktywów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odrębnie</w:t>
            </w:r>
            <w:r w:rsidRPr="00611EBF">
              <w:rPr>
                <w:rFonts w:ascii="Arial" w:hAnsi="Arial" w:cs="Arial"/>
                <w:b/>
                <w:color w:val="2E2014"/>
                <w:spacing w:val="-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dla długoterminowych aktywów niefinansowych oraz długoterminowych aktywów finansowych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 gruntów użytkowanych wieczyście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C1014E">
              <w:rPr>
                <w:rFonts w:ascii="Arial" w:hAnsi="Arial" w:cs="Arial"/>
                <w:b/>
                <w:color w:val="2E2014"/>
                <w:sz w:val="22"/>
                <w:szCs w:val="22"/>
              </w:rPr>
              <w:t>1.5.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nieamortyzowanych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nieumarzanych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przez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jednostkę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środków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trwałych,</w:t>
            </w:r>
            <w:r w:rsidRPr="00611EBF">
              <w:rPr>
                <w:rFonts w:ascii="Arial" w:hAnsi="Arial" w:cs="Arial"/>
                <w:b/>
                <w:color w:val="2E2014"/>
                <w:spacing w:val="19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używanych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20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podstawie umów najmu, dzierżawy i innych umów, w tym z tytułu umów leasingu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liczbę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wartość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posiadanych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wartościowych,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tym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akcji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udziałów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oraz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dłużnych</w:t>
            </w:r>
            <w:r w:rsidRPr="00611EBF">
              <w:rPr>
                <w:rFonts w:ascii="Arial" w:hAnsi="Arial" w:cs="Arial"/>
                <w:b/>
                <w:color w:val="2E2014"/>
                <w:spacing w:val="3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papierów wartościowych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1.7.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 o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odpisach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aktualizujących wartość należności, ze wskazaniem stanu na początek roku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 zwiększeniach, wykorzystaniu, rozwiązaniu i stanie na koniec roku obrotowego, z uwzględnieniem należności finansowych jednostek samorządu terytorialnego (stan pożyczek zagrożonych)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1.8.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dane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stanie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rezerw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celu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ich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utworzenia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początek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roku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obrotowego,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zwiększeniach,</w:t>
            </w:r>
            <w:r w:rsidRPr="00611EBF">
              <w:rPr>
                <w:rFonts w:ascii="Arial" w:hAnsi="Arial" w:cs="Arial"/>
                <w:b/>
                <w:color w:val="2E2014"/>
                <w:spacing w:val="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wykorzystaniu, rozwiązaniu i stanie końcowym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1.9.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D07D26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 jednostce występują tylko zobowiązania krótkoterminowe w tym:</w:t>
            </w:r>
          </w:p>
        </w:tc>
      </w:tr>
      <w:tr w:rsidR="00044C0C" w:rsidTr="00611EBF">
        <w:trPr>
          <w:trHeight w:val="1749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643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4791"/>
              <w:gridCol w:w="1644"/>
            </w:tblGrid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dostaw i usług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1D50AF" w:rsidRDefault="003D6C1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20.013,77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podatków i ubezpieczeń społecznych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1D50AF" w:rsidRDefault="003D6C1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141,38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wynagrodzeń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1D50AF" w:rsidRDefault="003D6C1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529,56</w:t>
                  </w:r>
                </w:p>
              </w:tc>
            </w:tr>
            <w:tr w:rsidR="00D07D26" w:rsidRPr="00611EBF" w:rsidTr="00611EBF">
              <w:trPr>
                <w:jc w:val="center"/>
              </w:trPr>
              <w:tc>
                <w:tcPr>
                  <w:tcW w:w="479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18"/>
                      <w:szCs w:val="22"/>
                    </w:rPr>
                  </w:pPr>
                  <w:r w:rsidRPr="00611EBF">
                    <w:rPr>
                      <w:rFonts w:ascii="Arial" w:hAnsi="Arial"/>
                      <w:sz w:val="18"/>
                      <w:szCs w:val="22"/>
                    </w:rPr>
                    <w:t>Z tytułu rozliczenia dotacji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1D50AF" w:rsidRDefault="003D6C1B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6</w:t>
                  </w:r>
                  <w:r w:rsidR="008553EA"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.</w:t>
                  </w:r>
                  <w:r w:rsidR="00893A5E"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7</w:t>
                  </w: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6</w:t>
                  </w:r>
                  <w:r w:rsidR="00893A5E"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4,6</w:t>
                  </w:r>
                  <w:r w:rsidRPr="001D50AF">
                    <w:rPr>
                      <w:rFonts w:ascii="Arial" w:hAnsi="Arial"/>
                      <w:color w:val="000000" w:themeColor="text1"/>
                      <w:sz w:val="18"/>
                      <w:szCs w:val="22"/>
                    </w:rPr>
                    <w:t>2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1.10.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="00F50651"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sytuacji,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gdy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jednostka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kwalifikuje umowy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leasingu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zgodnie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przepisami podatkowymi (leasing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operacyjny),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a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według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przepisów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rachunkowości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byłby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to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leasing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finansowy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zwrotny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</w:t>
            </w:r>
            <w:r w:rsidRPr="00611EBF">
              <w:rPr>
                <w:rFonts w:ascii="Arial" w:hAnsi="Arial" w:cs="Arial"/>
                <w:b/>
                <w:color w:val="2E2014"/>
                <w:spacing w:val="-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podziałem na kwotę zobowiązań z tytułu leasingu finansowego lub leasingu zwrotnego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zobowiązań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zabezpieczonych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jednostki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ze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wskazaniem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charakteru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formy</w:t>
            </w:r>
            <w:r w:rsidRPr="00611EBF">
              <w:rPr>
                <w:rFonts w:ascii="Arial" w:hAnsi="Arial" w:cs="Arial"/>
                <w:b/>
                <w:color w:val="2E2014"/>
                <w:spacing w:val="48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tych zabezpieczeń</w:t>
            </w:r>
          </w:p>
        </w:tc>
      </w:tr>
      <w:tr w:rsidR="00D07D26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7D26" w:rsidRDefault="00D07D2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2E2014"/>
                <w:sz w:val="22"/>
                <w:szCs w:val="22"/>
              </w:rPr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zobowiązań warunkowych, w tym również udzielonych przez jednostkę gwarancji i poręczeń, także wekslowych, niewykazanych w</w:t>
            </w:r>
            <w:r w:rsidRPr="00611EBF">
              <w:rPr>
                <w:rFonts w:ascii="Arial" w:hAnsi="Arial" w:cs="Arial"/>
                <w:b/>
                <w:color w:val="2E2014"/>
                <w:spacing w:val="1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bilansie, ze wskazaniem zobowiązań zabezpieczonych na majątku jednostki oraz charakteru i formy tych zabezpieczeń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wykaz istotnych pozycji czynnych i biernych rozliczeń międzyokresowych, w tym kwotę czynnych rozliczeń międzyokresowych kosztów stanowiących różnicę między wartością otrzymanych finansowych składników aktywów a zobowiązaniem zapłaty za nie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Default="00922A6A" w:rsidP="00922A6A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  <w:p w:rsidR="00044C0C" w:rsidRPr="001D50AF" w:rsidRDefault="00155AE2" w:rsidP="00611EBF">
            <w:pPr>
              <w:pStyle w:val="Standard"/>
              <w:ind w:left="142" w:right="142"/>
              <w:jc w:val="both"/>
              <w:rPr>
                <w:rFonts w:ascii="Arial" w:hAnsi="Arial"/>
                <w:color w:val="000000" w:themeColor="text1"/>
                <w:sz w:val="22"/>
                <w:szCs w:val="22"/>
              </w:rPr>
            </w:pPr>
            <w:r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Rozliczenia międzyokresowe długoterminowe przychodów to dotacje na zakupy inwestycyjne, które zgodnie z ustawą o rachunkowości zwiększają przychody w momencie odpisów amortyzacyjnych do wysokości tych odpisów w </w:t>
            </w:r>
            <w:r w:rsidR="00611EBF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kwocie </w:t>
            </w:r>
            <w:r w:rsidR="008553EA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2</w:t>
            </w:r>
            <w:r w:rsidR="006F278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48</w:t>
            </w:r>
            <w:r w:rsidR="008553EA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.</w:t>
            </w:r>
            <w:r w:rsidR="006F278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014</w:t>
            </w:r>
            <w:r w:rsidR="008553EA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,</w:t>
            </w:r>
            <w:r w:rsidR="006F278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29</w:t>
            </w:r>
            <w:r w:rsidR="00611EBF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</w:t>
            </w:r>
            <w:r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zł</w:t>
            </w:r>
            <w:r w:rsidR="00957BE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.</w:t>
            </w:r>
            <w:r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oraz krótkoterminowe na kwotę </w:t>
            </w:r>
            <w:r w:rsidR="006F278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52.287,28 </w:t>
            </w:r>
            <w:r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zł. z tytułu rozliczeń wpływu za bilety</w:t>
            </w:r>
            <w:r w:rsidR="00993C56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wstępu </w:t>
            </w:r>
            <w:r w:rsidR="006F278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11.191,66</w:t>
            </w:r>
            <w:r w:rsidR="00993C56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 zł</w:t>
            </w:r>
            <w:r w:rsidR="00957BE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.</w:t>
            </w:r>
            <w:r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i odpisów amortyzacyjnych w 20</w:t>
            </w:r>
            <w:r w:rsidR="00DB66E2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2</w:t>
            </w:r>
            <w:r w:rsidR="008553EA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3</w:t>
            </w:r>
            <w:r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r. w kwocie </w:t>
            </w:r>
            <w:r w:rsidR="006F278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41</w:t>
            </w:r>
            <w:r w:rsidR="008553EA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.</w:t>
            </w:r>
            <w:r w:rsidR="006F278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095</w:t>
            </w:r>
            <w:r w:rsidR="008553EA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,6</w:t>
            </w:r>
            <w:r w:rsidR="006F2789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>2</w:t>
            </w:r>
            <w:r w:rsidR="007877D2"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 </w:t>
            </w:r>
            <w:r w:rsidRPr="001D50AF">
              <w:rPr>
                <w:rFonts w:ascii="Arial" w:hAnsi="Arial"/>
                <w:color w:val="000000" w:themeColor="text1"/>
                <w:sz w:val="22"/>
                <w:szCs w:val="22"/>
              </w:rPr>
              <w:t xml:space="preserve">zł. </w:t>
            </w:r>
          </w:p>
          <w:p w:rsidR="00922A6A" w:rsidRPr="00611EBF" w:rsidRDefault="00922A6A" w:rsidP="00611EBF">
            <w:pPr>
              <w:pStyle w:val="Standard"/>
              <w:ind w:left="142" w:right="14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044C0C" w:rsidRPr="00611EBF" w:rsidTr="00611EBF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1.14.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łączną kwotę otrzymanych przez jednostkę gwarancji i poręczeń niewykazanych w</w:t>
            </w:r>
            <w:r w:rsid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 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bilansie</w:t>
            </w:r>
          </w:p>
        </w:tc>
      </w:tr>
      <w:tr w:rsidR="00044C0C" w:rsidTr="00E579F1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7008E6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611EBF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struktury przychodów ze sprzedaży</w:t>
            </w:r>
          </w:p>
        </w:tc>
      </w:tr>
      <w:tr w:rsidR="00044C0C" w:rsidTr="008D219A">
        <w:trPr>
          <w:trHeight w:val="2423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611EBF">
            <w:pPr>
              <w:pStyle w:val="Standard"/>
              <w:widowControl w:val="0"/>
              <w:ind w:left="-1" w:right="-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7165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/>
            </w:tblPr>
            <w:tblGrid>
              <w:gridCol w:w="5521"/>
              <w:gridCol w:w="1644"/>
            </w:tblGrid>
            <w:tr w:rsidR="00B722B3" w:rsidRPr="00B722B3" w:rsidTr="00611EBF">
              <w:trPr>
                <w:jc w:val="center"/>
              </w:trPr>
              <w:tc>
                <w:tcPr>
                  <w:tcW w:w="55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Gminy Miasta Tychy</w:t>
                  </w:r>
                </w:p>
              </w:tc>
              <w:tc>
                <w:tcPr>
                  <w:tcW w:w="16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1D50AF" w:rsidRDefault="0053374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3</w:t>
                  </w:r>
                  <w:r w:rsidR="00D42D2C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.</w:t>
                  </w: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197</w:t>
                  </w:r>
                  <w:r w:rsidR="00D42D2C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.</w:t>
                  </w: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451</w:t>
                  </w:r>
                  <w:r w:rsidR="00D42D2C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,</w:t>
                  </w: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38</w:t>
                  </w:r>
                </w:p>
              </w:tc>
            </w:tr>
            <w:tr w:rsidR="00B722B3" w:rsidRPr="00B722B3" w:rsidTr="00820B08">
              <w:trPr>
                <w:trHeight w:val="300"/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4" w:space="0" w:color="auto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820B08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Dotacja z Ministerstwa Kultury i Dziedzictwa Narodowego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1D50AF" w:rsidRDefault="00B722B3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7</w:t>
                  </w:r>
                  <w:r w:rsidR="00533745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82</w:t>
                  </w:r>
                  <w:r w:rsidR="003F57EE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.</w:t>
                  </w:r>
                  <w:r w:rsidR="00922FF7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000</w:t>
                  </w:r>
                  <w:r w:rsidR="003F57EE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,00</w:t>
                  </w:r>
                </w:p>
              </w:tc>
            </w:tr>
            <w:tr w:rsidR="00B722B3" w:rsidRPr="00B722B3" w:rsidTr="00820B08">
              <w:trPr>
                <w:trHeight w:val="150"/>
                <w:jc w:val="center"/>
              </w:trPr>
              <w:tc>
                <w:tcPr>
                  <w:tcW w:w="5521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20B08" w:rsidRPr="00611EBF" w:rsidRDefault="00820B08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>
                    <w:rPr>
                      <w:rFonts w:ascii="Arial" w:hAnsi="Arial"/>
                      <w:sz w:val="20"/>
                      <w:szCs w:val="22"/>
                    </w:rPr>
                    <w:t>Fundusz Wsparcia Kultury z Instytutu Muzyki i Tańca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820B08" w:rsidRPr="001D50AF" w:rsidRDefault="00922FF7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0</w:t>
                  </w:r>
                  <w:r w:rsidR="00820B08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,0</w:t>
                  </w: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0</w:t>
                  </w:r>
                </w:p>
              </w:tc>
            </w:tr>
            <w:tr w:rsidR="00B722B3" w:rsidRPr="00B722B3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Przychody ze sprzedaży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1D50AF" w:rsidRDefault="00533745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323</w:t>
                  </w:r>
                  <w:r w:rsidR="003937F2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.</w:t>
                  </w: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310</w:t>
                  </w:r>
                  <w:r w:rsidR="008553EA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,</w:t>
                  </w: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06</w:t>
                  </w:r>
                </w:p>
              </w:tc>
            </w:tr>
            <w:tr w:rsidR="00B722B3" w:rsidRPr="00B722B3" w:rsidTr="00611EBF">
              <w:trPr>
                <w:jc w:val="center"/>
              </w:trPr>
              <w:tc>
                <w:tcPr>
                  <w:tcW w:w="5521" w:type="dxa"/>
                  <w:tcBorders>
                    <w:left w:val="single" w:sz="2" w:space="0" w:color="000000"/>
                    <w:bottom w:val="single" w:sz="2" w:space="0" w:color="000000"/>
                  </w:tcBorders>
                  <w:shd w:val="clear" w:color="auto" w:fill="F2F2F2" w:themeFill="background1" w:themeFillShade="F2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611EBF" w:rsidRDefault="00D07D26" w:rsidP="00E579F1">
                  <w:pPr>
                    <w:pStyle w:val="TableContents"/>
                    <w:ind w:left="142" w:right="142"/>
                    <w:jc w:val="both"/>
                    <w:rPr>
                      <w:rFonts w:ascii="Arial" w:hAnsi="Arial"/>
                      <w:sz w:val="20"/>
                      <w:szCs w:val="22"/>
                    </w:rPr>
                  </w:pPr>
                  <w:r w:rsidRPr="00611EBF">
                    <w:rPr>
                      <w:rFonts w:ascii="Arial" w:hAnsi="Arial"/>
                      <w:sz w:val="20"/>
                      <w:szCs w:val="22"/>
                    </w:rPr>
                    <w:t>Pozostałe przychody</w:t>
                  </w:r>
                </w:p>
              </w:tc>
              <w:tc>
                <w:tcPr>
                  <w:tcW w:w="1644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07D26" w:rsidRPr="001D50AF" w:rsidRDefault="008553EA" w:rsidP="00611EBF">
                  <w:pPr>
                    <w:pStyle w:val="TableContents"/>
                    <w:ind w:left="142" w:right="142"/>
                    <w:jc w:val="right"/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</w:pP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4</w:t>
                  </w:r>
                  <w:r w:rsidR="00533745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7</w:t>
                  </w: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.</w:t>
                  </w:r>
                  <w:r w:rsidR="00533745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110</w:t>
                  </w:r>
                  <w:r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,</w:t>
                  </w:r>
                  <w:r w:rsidR="00533745" w:rsidRPr="001D50AF">
                    <w:rPr>
                      <w:rFonts w:ascii="Arial" w:hAnsi="Arial"/>
                      <w:color w:val="000000" w:themeColor="text1"/>
                      <w:sz w:val="20"/>
                      <w:szCs w:val="22"/>
                    </w:rPr>
                    <w:t>36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611EBF">
            <w:pPr>
              <w:pStyle w:val="Standard"/>
              <w:widowControl w:val="0"/>
              <w:ind w:left="-1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1.16.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Default="00922A6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44C0C" w:rsidRPr="000C485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4851">
              <w:rPr>
                <w:rFonts w:ascii="Arial" w:hAnsi="Arial" w:cs="Arial"/>
                <w:sz w:val="22"/>
                <w:szCs w:val="22"/>
              </w:rPr>
              <w:t>Przeciętne zatrudnienie w 20</w:t>
            </w:r>
            <w:r w:rsidR="00D42D2C">
              <w:rPr>
                <w:rFonts w:ascii="Arial" w:hAnsi="Arial" w:cs="Arial"/>
                <w:sz w:val="22"/>
                <w:szCs w:val="22"/>
              </w:rPr>
              <w:t>2</w:t>
            </w:r>
            <w:r w:rsidR="00286853">
              <w:rPr>
                <w:rFonts w:ascii="Arial" w:hAnsi="Arial" w:cs="Arial"/>
                <w:sz w:val="22"/>
                <w:szCs w:val="22"/>
              </w:rPr>
              <w:t>3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 r. wyniosło </w:t>
            </w:r>
            <w:r w:rsidR="003E796E">
              <w:rPr>
                <w:rFonts w:ascii="Arial" w:hAnsi="Arial" w:cs="Arial"/>
                <w:sz w:val="22"/>
                <w:szCs w:val="22"/>
              </w:rPr>
              <w:t xml:space="preserve">25 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osób, co stanowi </w:t>
            </w:r>
            <w:r w:rsidR="003E796E">
              <w:rPr>
                <w:rFonts w:ascii="Arial" w:hAnsi="Arial" w:cs="Arial"/>
                <w:sz w:val="22"/>
                <w:szCs w:val="22"/>
              </w:rPr>
              <w:t>14</w:t>
            </w:r>
            <w:r w:rsidRPr="000C4851">
              <w:rPr>
                <w:rFonts w:ascii="Arial" w:hAnsi="Arial" w:cs="Arial"/>
                <w:sz w:val="22"/>
                <w:szCs w:val="22"/>
              </w:rPr>
              <w:t>,</w:t>
            </w:r>
            <w:r w:rsidR="003E796E">
              <w:rPr>
                <w:rFonts w:ascii="Arial" w:hAnsi="Arial" w:cs="Arial"/>
                <w:sz w:val="22"/>
                <w:szCs w:val="22"/>
              </w:rPr>
              <w:t xml:space="preserve">00 </w:t>
            </w:r>
            <w:r w:rsidRPr="000C4851">
              <w:rPr>
                <w:rFonts w:ascii="Arial" w:hAnsi="Arial" w:cs="Arial"/>
                <w:sz w:val="22"/>
                <w:szCs w:val="22"/>
              </w:rPr>
              <w:t>etatu przeliczeniowego w tym:</w:t>
            </w:r>
          </w:p>
          <w:p w:rsidR="00044C0C" w:rsidRPr="000C485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4851">
              <w:rPr>
                <w:rFonts w:ascii="Arial" w:hAnsi="Arial" w:cs="Arial"/>
                <w:sz w:val="22"/>
                <w:szCs w:val="22"/>
              </w:rPr>
              <w:t xml:space="preserve">Dyrekcja – </w:t>
            </w:r>
            <w:r w:rsidR="003E796E">
              <w:rPr>
                <w:rFonts w:ascii="Arial" w:hAnsi="Arial" w:cs="Arial"/>
                <w:sz w:val="22"/>
                <w:szCs w:val="22"/>
              </w:rPr>
              <w:t>2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 osoby</w:t>
            </w:r>
          </w:p>
          <w:p w:rsidR="00044C0C" w:rsidRPr="000C4851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4851">
              <w:rPr>
                <w:rFonts w:ascii="Arial" w:hAnsi="Arial" w:cs="Arial"/>
                <w:sz w:val="22"/>
                <w:szCs w:val="22"/>
              </w:rPr>
              <w:t xml:space="preserve">Pracownicy merytoryczni – </w:t>
            </w:r>
            <w:r w:rsidR="003E796E">
              <w:rPr>
                <w:rFonts w:ascii="Arial" w:hAnsi="Arial" w:cs="Arial"/>
                <w:sz w:val="22"/>
                <w:szCs w:val="22"/>
              </w:rPr>
              <w:t>22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 o</w:t>
            </w:r>
            <w:r w:rsidR="00374E78">
              <w:rPr>
                <w:rFonts w:ascii="Arial" w:hAnsi="Arial" w:cs="Arial"/>
                <w:sz w:val="22"/>
                <w:szCs w:val="22"/>
              </w:rPr>
              <w:t>soby</w:t>
            </w:r>
          </w:p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C4851">
              <w:rPr>
                <w:rFonts w:ascii="Arial" w:hAnsi="Arial" w:cs="Arial"/>
                <w:sz w:val="22"/>
                <w:szCs w:val="22"/>
              </w:rPr>
              <w:t xml:space="preserve">Pracownicy administracyjni – </w:t>
            </w:r>
            <w:r w:rsidR="003E796E">
              <w:rPr>
                <w:rFonts w:ascii="Arial" w:hAnsi="Arial" w:cs="Arial"/>
                <w:sz w:val="22"/>
                <w:szCs w:val="22"/>
              </w:rPr>
              <w:t>1</w:t>
            </w:r>
            <w:r w:rsidRPr="000C4851">
              <w:rPr>
                <w:rFonts w:ascii="Arial" w:hAnsi="Arial" w:cs="Arial"/>
                <w:sz w:val="22"/>
                <w:szCs w:val="22"/>
              </w:rPr>
              <w:t xml:space="preserve"> osob</w:t>
            </w:r>
            <w:r w:rsidR="003E796E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922A6A" w:rsidRDefault="00922A6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95" w:right="-20"/>
              <w:jc w:val="center"/>
            </w:pPr>
            <w:r>
              <w:rPr>
                <w:rFonts w:ascii="Arial" w:hAnsi="Arial" w:cs="Arial"/>
                <w:color w:val="2E2014"/>
                <w:sz w:val="22"/>
                <w:szCs w:val="22"/>
              </w:rPr>
              <w:t>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19A" w:rsidRDefault="008D219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D219A" w:rsidRDefault="008D219A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2.1.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wysokość odpisów aktualizujących wartość zapasów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2.2.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 wytworzenia środków trwałych w budowie, w tym odsetki oraz różnice kursowe, które powiększyły koszt wytworzenia środków trwałych w budowie w roku obrotowym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ind w:left="95" w:right="-20"/>
              <w:jc w:val="center"/>
              <w:rPr>
                <w:rFonts w:ascii="Arial" w:hAnsi="Arial" w:cs="Arial"/>
                <w:color w:val="2E2014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155AE2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kwotę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charakter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poszczególnych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pozycji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przychodów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kosztów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nadzwyczajnej</w:t>
            </w:r>
            <w:r w:rsidRPr="00611EBF">
              <w:rPr>
                <w:rFonts w:ascii="Arial" w:hAnsi="Arial" w:cs="Arial"/>
                <w:b/>
                <w:color w:val="2E2014"/>
                <w:spacing w:val="-13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wartości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lub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które</w:t>
            </w:r>
            <w:r w:rsidRPr="00611EBF">
              <w:rPr>
                <w:rFonts w:ascii="Arial" w:hAnsi="Arial" w:cs="Arial"/>
                <w:b/>
                <w:color w:val="2E2014"/>
                <w:spacing w:val="-12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wystąpiły incydentalnie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2.4.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informację o kwocie należności z tytułu podatków realizowanych przez organy podatkowe podległe ministrowi właściwemu do spraw finansów publicznych wykazywanych w sprawozdaniu z wykonania planu dochodów budżetowych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611EBF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55AE2">
              <w:rPr>
                <w:rFonts w:ascii="Arial" w:hAnsi="Arial" w:cs="Arial"/>
                <w:sz w:val="22"/>
                <w:szCs w:val="22"/>
              </w:rPr>
              <w:t>ie dotyczy</w:t>
            </w: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2.5.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 informacje</w:t>
            </w:r>
          </w:p>
        </w:tc>
      </w:tr>
      <w:tr w:rsidR="00044C0C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2A6A" w:rsidRPr="006374EB" w:rsidRDefault="00922A6A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772EF" w:rsidRPr="001D50AF" w:rsidRDefault="00716DB6" w:rsidP="00F772E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Zobowiązanie wobec Gminy</w:t>
            </w:r>
            <w:r w:rsidR="00F772EF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Miasta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Tychy z tytułu zwrotu dotacji w kwocie </w:t>
            </w:r>
            <w:r w:rsidR="00286853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  <w:r w:rsidR="008553EA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B722B3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 w:rsidR="00286853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  <w:r w:rsidR="00B722B3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4,</w:t>
            </w:r>
            <w:r w:rsidR="00286853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62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zł.</w:t>
            </w:r>
            <w:r w:rsidR="00F772EF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zaprezentowano w bilansie w poz. B.III.3.i. </w:t>
            </w:r>
          </w:p>
          <w:p w:rsidR="00C1014E" w:rsidRPr="001D50AF" w:rsidRDefault="00F772EF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Na 31 grudnia 202</w:t>
            </w:r>
            <w:r w:rsidR="00286853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r. nie wystąpiły </w:t>
            </w:r>
            <w:r w:rsidR="00D42D2C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zobowiązani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D42D2C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wobec </w:t>
            </w:r>
            <w:r w:rsidR="00F62B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Ministerstwa Kultury i Dziedzictwa Narodowego</w:t>
            </w:r>
            <w:r w:rsidR="00D42D2C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 tytułu zwrotu dotacji 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oraz </w:t>
            </w:r>
            <w:r w:rsidR="00D42D2C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zobowiązani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a</w:t>
            </w:r>
            <w:r w:rsidR="00D42D2C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866AE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pochodzące z Funduszu Promocji Kultury</w:t>
            </w:r>
            <w:r w:rsidR="00D42D2C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="00D42D2C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tytułu zwrotu wsparcia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:rsidR="00590562" w:rsidRPr="001D50AF" w:rsidRDefault="00590562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Zobowiązania wobec kontrahentów o okresie wymagalności do 12 miesięcy wynoszą 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20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013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77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zł., które zaprezentowano w bilansie w poz. B.III.3.d</w:t>
            </w:r>
          </w:p>
          <w:p w:rsidR="00590562" w:rsidRPr="001D50AF" w:rsidRDefault="00590562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Pozycja B.III.3.g obejmuje zobowiązani</w:t>
            </w:r>
            <w:r w:rsidR="007866AE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e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wobec Urzędu Skarbowego </w:t>
            </w:r>
            <w:r w:rsidR="007866AE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na kwotę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81,</w:t>
            </w:r>
            <w:r w:rsidR="007866AE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00 zł. 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oraz wobec Zakładu Ubezpieczeń Społecznych</w:t>
            </w:r>
            <w:r w:rsidR="007866AE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na kwotę 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60</w:t>
            </w:r>
            <w:r w:rsidR="007866AE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38</w:t>
            </w:r>
            <w:r w:rsidR="007866AE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zł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. Listę płac z tytułu zwrotu składek za 202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r. w kwocie 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529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,5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6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zł. zaprezentowano w bilansie w poz. B.III.3.h.</w:t>
            </w:r>
          </w:p>
          <w:p w:rsidR="008D219A" w:rsidRPr="001D50AF" w:rsidRDefault="008D219A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="00044C0C" w:rsidRPr="001D50AF" w:rsidRDefault="00F772EF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Należności</w:t>
            </w:r>
            <w:r w:rsidR="00F62B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BD02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od Śródmieście Sp. z o.o. w kwocie 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1.966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77</w:t>
            </w:r>
            <w:r w:rsidR="00BD02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zł</w:t>
            </w:r>
            <w:r w:rsidR="00680915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</w:t>
            </w:r>
            <w:r w:rsidR="00BD02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od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7877D2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Ticketmaster</w:t>
            </w:r>
            <w:proofErr w:type="spellEnd"/>
            <w:r w:rsidR="007877D2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Sp.</w:t>
            </w:r>
            <w:r w:rsidR="002C6524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="007877D2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z o.o. w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="007877D2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kwocie 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19.494,00 </w:t>
            </w:r>
            <w:r w:rsidR="007877D2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zł</w:t>
            </w:r>
            <w:r w:rsidR="00F62B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="007877D2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716DB6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wykazano w bilansie w pozycji B.II.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716DB6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.a</w:t>
            </w:r>
            <w:r w:rsidR="006A02B6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:rsidR="00F62BC9" w:rsidRPr="001D50AF" w:rsidRDefault="006374EB" w:rsidP="00550EAF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Należności od Urzędu Skarbowego z tytułu podatku VAT w kwocie </w:t>
            </w:r>
            <w:r w:rsidR="00554580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79.358,19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zł. i n</w:t>
            </w:r>
            <w:r w:rsidR="00F62B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ależności od Zakładu Ubezpieczeń Społecznych w kwocie </w:t>
            </w:r>
            <w:r w:rsidR="00206381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1.639,81</w:t>
            </w:r>
            <w:r w:rsidR="00F62B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zł</w:t>
            </w:r>
            <w:r w:rsidR="00957BE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F62B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wykazano w </w:t>
            </w:r>
            <w:r w:rsidR="00F62B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bilansie w pozycji B.II.</w:t>
            </w:r>
            <w:r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F62BC9" w:rsidRPr="001D50AF">
              <w:rPr>
                <w:rFonts w:ascii="Arial" w:hAnsi="Arial" w:cs="Arial"/>
                <w:color w:val="000000" w:themeColor="text1"/>
                <w:sz w:val="22"/>
                <w:szCs w:val="22"/>
              </w:rPr>
              <w:t>.b.</w:t>
            </w:r>
          </w:p>
          <w:p w:rsidR="00922A6A" w:rsidRDefault="00922A6A" w:rsidP="006374EB">
            <w:pPr>
              <w:pStyle w:val="Standard"/>
              <w:widowControl w:val="0"/>
              <w:ind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4C0C" w:rsidRPr="00611EBF" w:rsidTr="00D42D2C">
        <w:trPr>
          <w:trHeight w:val="397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95" w:right="-20"/>
              <w:jc w:val="center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lastRenderedPageBreak/>
              <w:t>3.</w:t>
            </w: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Pr="00611EBF" w:rsidRDefault="00155AE2" w:rsidP="00E579F1">
            <w:pPr>
              <w:pStyle w:val="Standard"/>
              <w:widowControl w:val="0"/>
              <w:ind w:left="142" w:right="142"/>
              <w:jc w:val="both"/>
              <w:rPr>
                <w:b/>
              </w:rPr>
            </w:pP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informacje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niż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wymienione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powyżej,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jeżeli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mogłyby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istotny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sposób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wpłynąć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na</w:t>
            </w:r>
            <w:r w:rsidR="00922A6A">
              <w:rPr>
                <w:rFonts w:ascii="Arial" w:hAnsi="Arial" w:cs="Arial"/>
                <w:b/>
                <w:color w:val="2E20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ocenę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sytuacji</w:t>
            </w:r>
            <w:r w:rsidRPr="00611EBF">
              <w:rPr>
                <w:rFonts w:ascii="Arial" w:hAnsi="Arial" w:cs="Arial"/>
                <w:b/>
                <w:color w:val="2E2014"/>
                <w:spacing w:val="-14"/>
                <w:sz w:val="22"/>
                <w:szCs w:val="22"/>
              </w:rPr>
              <w:t xml:space="preserve"> </w:t>
            </w:r>
            <w:r w:rsidRPr="00611EBF">
              <w:rPr>
                <w:rFonts w:ascii="Arial" w:hAnsi="Arial" w:cs="Arial"/>
                <w:b/>
                <w:color w:val="2E2014"/>
                <w:sz w:val="22"/>
                <w:szCs w:val="22"/>
              </w:rPr>
              <w:t>majątkowej i finansowej oraz wynik finansowy jednostki</w:t>
            </w:r>
          </w:p>
        </w:tc>
      </w:tr>
      <w:tr w:rsidR="00044C0C" w:rsidTr="00D800E5">
        <w:trPr>
          <w:trHeight w:val="3654"/>
        </w:trPr>
        <w:tc>
          <w:tcPr>
            <w:tcW w:w="567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44C0C" w:rsidRDefault="00044C0C" w:rsidP="00E579F1">
            <w:pPr>
              <w:pStyle w:val="Standard"/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14" w:type="dxa"/>
            <w:tcBorders>
              <w:top w:val="single" w:sz="6" w:space="0" w:color="2E2014"/>
              <w:left w:val="single" w:sz="6" w:space="0" w:color="2E2014"/>
              <w:bottom w:val="single" w:sz="6" w:space="0" w:color="2E2014"/>
              <w:right w:val="single" w:sz="6" w:space="0" w:color="2E2014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60E" w:rsidRDefault="0069760E" w:rsidP="0069760E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87629E">
              <w:rPr>
                <w:rFonts w:ascii="Arial" w:hAnsi="Arial"/>
                <w:sz w:val="22"/>
                <w:szCs w:val="22"/>
              </w:rPr>
              <w:t xml:space="preserve">Rozliczenie głównych pozycji podstaw opodatkowania podatkiem dochodowym od wyniku finansowego </w:t>
            </w:r>
            <w:r w:rsidR="002334C0">
              <w:rPr>
                <w:rFonts w:ascii="Arial" w:hAnsi="Arial"/>
                <w:sz w:val="22"/>
                <w:szCs w:val="22"/>
              </w:rPr>
              <w:t>202</w:t>
            </w:r>
            <w:r w:rsidR="00484AB3">
              <w:rPr>
                <w:rFonts w:ascii="Arial" w:hAnsi="Arial"/>
                <w:sz w:val="22"/>
                <w:szCs w:val="22"/>
              </w:rPr>
              <w:t>3</w:t>
            </w:r>
          </w:p>
          <w:p w:rsidR="00922A6A" w:rsidRPr="0087629E" w:rsidRDefault="00922A6A" w:rsidP="0069760E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/>
            </w:tblPr>
            <w:tblGrid>
              <w:gridCol w:w="5524"/>
              <w:gridCol w:w="1769"/>
              <w:gridCol w:w="1769"/>
            </w:tblGrid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 xml:space="preserve">Przychody wg. ksiąg będące podstawą opodatkowania 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:rsidR="0069760E" w:rsidRPr="001D50AF" w:rsidRDefault="00077405" w:rsidP="0069760E">
                  <w:pPr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4</w:t>
                  </w:r>
                  <w:r w:rsidR="006374EB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348</w:t>
                  </w:r>
                  <w:r w:rsidR="006374EB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1</w:t>
                  </w:r>
                  <w:r w:rsidR="006374EB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5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0,</w:t>
                  </w:r>
                  <w:r w:rsidR="006374EB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0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1</w:t>
                  </w: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Koszty uzyskania przychodu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:rsidR="0069760E" w:rsidRPr="001D50AF" w:rsidRDefault="000C53A5" w:rsidP="0069760E">
                  <w:pPr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40</w:t>
                  </w:r>
                  <w:r w:rsidR="00561659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128</w:t>
                  </w:r>
                  <w:r w:rsidR="00561659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,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05</w:t>
                  </w: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Koszty uzyskania przychodu wg. ksiąg rachunkowych</w:t>
                  </w:r>
                </w:p>
              </w:tc>
              <w:tc>
                <w:tcPr>
                  <w:tcW w:w="1769" w:type="dxa"/>
                </w:tcPr>
                <w:p w:rsidR="0069760E" w:rsidRPr="001D50AF" w:rsidRDefault="00077405" w:rsidP="0069760E">
                  <w:pPr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4</w:t>
                  </w:r>
                  <w:r w:rsidR="006374EB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019</w:t>
                  </w:r>
                  <w:r w:rsidR="006374EB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639</w:t>
                  </w:r>
                  <w:r w:rsidR="006374EB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,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81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Pomniejszenie o koszty finansowane z dotacji</w:t>
                  </w:r>
                </w:p>
              </w:tc>
              <w:tc>
                <w:tcPr>
                  <w:tcW w:w="1769" w:type="dxa"/>
                </w:tcPr>
                <w:p w:rsidR="0069760E" w:rsidRPr="001D50AF" w:rsidRDefault="000C53A5" w:rsidP="0069760E">
                  <w:pPr>
                    <w:jc w:val="right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</w:t>
                  </w:r>
                  <w:r w:rsidR="00561659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979</w:t>
                  </w:r>
                  <w:r w:rsidR="00561659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451</w:t>
                  </w:r>
                  <w:r w:rsidR="00561659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,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Pomniejszenie o niewypłacone nagrody roczne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F1463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Pomniejszenie o niezapłacone składki ZUS</w:t>
                  </w:r>
                </w:p>
              </w:tc>
              <w:tc>
                <w:tcPr>
                  <w:tcW w:w="1769" w:type="dxa"/>
                </w:tcPr>
                <w:p w:rsidR="0069760E" w:rsidRPr="00411C97" w:rsidRDefault="00F049E7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60</w:t>
                  </w:r>
                  <w:r w:rsidR="00957BE9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,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38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69760E" w:rsidRPr="004600FA" w:rsidTr="0087629E">
              <w:trPr>
                <w:trHeight w:val="269"/>
              </w:trPr>
              <w:tc>
                <w:tcPr>
                  <w:tcW w:w="5524" w:type="dxa"/>
                  <w:shd w:val="clear" w:color="auto" w:fill="DEEAF6" w:themeFill="accent1" w:themeFillTint="33"/>
                </w:tcPr>
                <w:p w:rsidR="0069760E" w:rsidRPr="0087629E" w:rsidRDefault="0069760E" w:rsidP="0069760E">
                  <w:pPr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7629E">
                    <w:rPr>
                      <w:rFonts w:ascii="Arial" w:hAnsi="Arial" w:cs="Arial"/>
                      <w:sz w:val="18"/>
                      <w:szCs w:val="18"/>
                    </w:rPr>
                    <w:t>Dochód</w:t>
                  </w:r>
                </w:p>
              </w:tc>
              <w:tc>
                <w:tcPr>
                  <w:tcW w:w="1769" w:type="dxa"/>
                </w:tcPr>
                <w:p w:rsidR="0069760E" w:rsidRPr="00411C97" w:rsidRDefault="0069760E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769" w:type="dxa"/>
                </w:tcPr>
                <w:p w:rsidR="0069760E" w:rsidRPr="00411C97" w:rsidRDefault="001D50AF" w:rsidP="0069760E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4</w:t>
                  </w:r>
                  <w:r w:rsidR="00EF5397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30</w:t>
                  </w:r>
                  <w:r w:rsidR="00EF5397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8.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021</w:t>
                  </w:r>
                  <w:r w:rsidR="00EF5397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,</w:t>
                  </w:r>
                  <w:r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9</w:t>
                  </w:r>
                  <w:r w:rsidR="00EF5397" w:rsidRPr="001D50AF"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  <w:t>6</w:t>
                  </w:r>
                </w:p>
              </w:tc>
            </w:tr>
          </w:tbl>
          <w:p w:rsidR="00044C0C" w:rsidRDefault="00044C0C" w:rsidP="00E579F1">
            <w:pPr>
              <w:pStyle w:val="Standard"/>
              <w:widowControl w:val="0"/>
              <w:ind w:left="142" w:right="14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4C0C" w:rsidRDefault="00044C0C" w:rsidP="00E579F1">
      <w:pPr>
        <w:pStyle w:val="Standard"/>
        <w:widowControl w:val="0"/>
        <w:spacing w:line="360" w:lineRule="auto"/>
        <w:rPr>
          <w:rFonts w:ascii="Arial" w:hAnsi="Arial" w:cs="Arial"/>
          <w:sz w:val="22"/>
          <w:szCs w:val="22"/>
        </w:rPr>
      </w:pPr>
    </w:p>
    <w:p w:rsidR="00BB7222" w:rsidRDefault="00BB7222" w:rsidP="00CC17D3">
      <w:pPr>
        <w:pStyle w:val="Standard"/>
        <w:widowControl w:val="0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BB7222" w:rsidRDefault="00836FF4" w:rsidP="009164A5">
      <w:pPr>
        <w:pStyle w:val="Standard"/>
        <w:widowControl w:val="0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</w:t>
      </w:r>
      <w:r w:rsidR="00CC17D3" w:rsidRPr="00CC17D3">
        <w:rPr>
          <w:rFonts w:ascii="Arial" w:hAnsi="Arial" w:cs="Arial"/>
          <w:sz w:val="16"/>
          <w:szCs w:val="16"/>
        </w:rPr>
        <w:t>-03-202</w:t>
      </w:r>
      <w:r w:rsidR="00077405">
        <w:rPr>
          <w:rFonts w:ascii="Arial" w:hAnsi="Arial" w:cs="Arial"/>
          <w:sz w:val="16"/>
          <w:szCs w:val="16"/>
        </w:rPr>
        <w:t>4</w:t>
      </w:r>
    </w:p>
    <w:p w:rsidR="006D1024" w:rsidRPr="00CC17D3" w:rsidRDefault="006D1024" w:rsidP="006D1024">
      <w:pPr>
        <w:pStyle w:val="Standard"/>
        <w:widowControl w:val="0"/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Agnieszka Mrzyczek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Dagmara Gawryszek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>…………………………………………………………….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…………………………………………………………….</w:t>
      </w:r>
    </w:p>
    <w:p w:rsidR="0087629E" w:rsidRDefault="0087629E" w:rsidP="0087629E">
      <w:pPr>
        <w:widowControl/>
        <w:suppressAutoHyphens w:val="0"/>
        <w:autoSpaceDN/>
        <w:textAlignment w:val="auto"/>
        <w:rPr>
          <w:rFonts w:ascii="Arial" w:eastAsia="Times New Roman" w:hAnsi="Arial"/>
          <w:kern w:val="0"/>
          <w:sz w:val="16"/>
          <w:szCs w:val="16"/>
          <w:lang w:eastAsia="pl-PL" w:bidi="ar-SA"/>
        </w:rPr>
      </w:pP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Główny Księgowy Centrum Usług Wspólnych Miasta Tychy</w:t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</w:r>
      <w:r>
        <w:rPr>
          <w:rFonts w:ascii="Arial" w:eastAsia="Times New Roman" w:hAnsi="Arial"/>
          <w:kern w:val="0"/>
          <w:sz w:val="16"/>
          <w:szCs w:val="16"/>
          <w:lang w:eastAsia="pl-PL" w:bidi="ar-SA"/>
        </w:rPr>
        <w:tab/>
        <w:t xml:space="preserve">           </w:t>
      </w:r>
      <w:r w:rsidRPr="0087629E">
        <w:rPr>
          <w:rFonts w:ascii="Arial" w:eastAsia="Times New Roman" w:hAnsi="Arial"/>
          <w:kern w:val="0"/>
          <w:sz w:val="16"/>
          <w:szCs w:val="16"/>
          <w:lang w:eastAsia="pl-PL" w:bidi="ar-SA"/>
        </w:rPr>
        <w:t>Dyrektor Centrum Usług Wspólnych Miasta Tychy</w:t>
      </w:r>
    </w:p>
    <w:sectPr w:rsidR="0087629E" w:rsidSect="000A357D">
      <w:pgSz w:w="11920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0A2" w:rsidRDefault="002040A2">
      <w:r>
        <w:separator/>
      </w:r>
    </w:p>
  </w:endnote>
  <w:endnote w:type="continuationSeparator" w:id="0">
    <w:p w:rsidR="002040A2" w:rsidRDefault="00204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charset w:val="00"/>
    <w:family w:val="auto"/>
    <w:pitch w:val="variable"/>
    <w:sig w:usb0="00000000" w:usb1="00000000" w:usb2="00000000" w:usb3="00000000" w:csb0="00000000" w:csb1="00000000"/>
  </w:font>
  <w:font w:name="Times New Roman Gree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0A2" w:rsidRDefault="002040A2">
      <w:r>
        <w:rPr>
          <w:color w:val="000000"/>
        </w:rPr>
        <w:separator/>
      </w:r>
    </w:p>
  </w:footnote>
  <w:footnote w:type="continuationSeparator" w:id="0">
    <w:p w:rsidR="002040A2" w:rsidRDefault="002040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64471"/>
    <w:multiLevelType w:val="hybridMultilevel"/>
    <w:tmpl w:val="CCB86984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7EE4AFF"/>
    <w:multiLevelType w:val="hybridMultilevel"/>
    <w:tmpl w:val="CE6ECAC2"/>
    <w:lvl w:ilvl="0" w:tplc="DB10789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4C0C"/>
    <w:rsid w:val="0000482B"/>
    <w:rsid w:val="00017EE8"/>
    <w:rsid w:val="00036022"/>
    <w:rsid w:val="00044C0C"/>
    <w:rsid w:val="00077405"/>
    <w:rsid w:val="000A357D"/>
    <w:rsid w:val="000C0E9D"/>
    <w:rsid w:val="000C4851"/>
    <w:rsid w:val="000C53A5"/>
    <w:rsid w:val="000E4929"/>
    <w:rsid w:val="000E66D7"/>
    <w:rsid w:val="000F1463"/>
    <w:rsid w:val="00105C7C"/>
    <w:rsid w:val="00155AE2"/>
    <w:rsid w:val="001852AF"/>
    <w:rsid w:val="001A536C"/>
    <w:rsid w:val="001D50AF"/>
    <w:rsid w:val="002040A2"/>
    <w:rsid w:val="00206381"/>
    <w:rsid w:val="002071D3"/>
    <w:rsid w:val="0021612A"/>
    <w:rsid w:val="002334C0"/>
    <w:rsid w:val="00251931"/>
    <w:rsid w:val="002640FA"/>
    <w:rsid w:val="00267E0E"/>
    <w:rsid w:val="00286853"/>
    <w:rsid w:val="002B4DB2"/>
    <w:rsid w:val="002C6524"/>
    <w:rsid w:val="002E4B66"/>
    <w:rsid w:val="003129D8"/>
    <w:rsid w:val="00324007"/>
    <w:rsid w:val="00374E78"/>
    <w:rsid w:val="00377795"/>
    <w:rsid w:val="00386093"/>
    <w:rsid w:val="00390679"/>
    <w:rsid w:val="003937F2"/>
    <w:rsid w:val="003A5473"/>
    <w:rsid w:val="003C4CCF"/>
    <w:rsid w:val="003D6C1B"/>
    <w:rsid w:val="003E796E"/>
    <w:rsid w:val="003F57EE"/>
    <w:rsid w:val="00411C97"/>
    <w:rsid w:val="004161D7"/>
    <w:rsid w:val="00473604"/>
    <w:rsid w:val="004816EB"/>
    <w:rsid w:val="00484AB3"/>
    <w:rsid w:val="00486E5C"/>
    <w:rsid w:val="004D3BA6"/>
    <w:rsid w:val="004D7C6B"/>
    <w:rsid w:val="0052265A"/>
    <w:rsid w:val="00525E12"/>
    <w:rsid w:val="00533745"/>
    <w:rsid w:val="00550EAF"/>
    <w:rsid w:val="00554580"/>
    <w:rsid w:val="005611C2"/>
    <w:rsid w:val="00561659"/>
    <w:rsid w:val="00590562"/>
    <w:rsid w:val="005B5ABC"/>
    <w:rsid w:val="00606B8F"/>
    <w:rsid w:val="00611EBF"/>
    <w:rsid w:val="006143FF"/>
    <w:rsid w:val="006374EB"/>
    <w:rsid w:val="00653A50"/>
    <w:rsid w:val="0066113A"/>
    <w:rsid w:val="00680915"/>
    <w:rsid w:val="00695AC3"/>
    <w:rsid w:val="0069760E"/>
    <w:rsid w:val="006A02B6"/>
    <w:rsid w:val="006A36F8"/>
    <w:rsid w:val="006B4438"/>
    <w:rsid w:val="006D1024"/>
    <w:rsid w:val="006F0B4F"/>
    <w:rsid w:val="006F1100"/>
    <w:rsid w:val="006F2789"/>
    <w:rsid w:val="006F7132"/>
    <w:rsid w:val="007008E6"/>
    <w:rsid w:val="007038C4"/>
    <w:rsid w:val="00710BA3"/>
    <w:rsid w:val="00716DB6"/>
    <w:rsid w:val="007204B1"/>
    <w:rsid w:val="00772D2D"/>
    <w:rsid w:val="007866AE"/>
    <w:rsid w:val="007877D2"/>
    <w:rsid w:val="007A5325"/>
    <w:rsid w:val="007D1FF5"/>
    <w:rsid w:val="00801FDE"/>
    <w:rsid w:val="00807200"/>
    <w:rsid w:val="00820B08"/>
    <w:rsid w:val="00820C89"/>
    <w:rsid w:val="00834EAA"/>
    <w:rsid w:val="00836FF4"/>
    <w:rsid w:val="00837F04"/>
    <w:rsid w:val="00841B20"/>
    <w:rsid w:val="00841ECB"/>
    <w:rsid w:val="008553EA"/>
    <w:rsid w:val="008669EF"/>
    <w:rsid w:val="0087629E"/>
    <w:rsid w:val="00893A5E"/>
    <w:rsid w:val="00897A2A"/>
    <w:rsid w:val="008C233D"/>
    <w:rsid w:val="008C2456"/>
    <w:rsid w:val="008D219A"/>
    <w:rsid w:val="008E72DE"/>
    <w:rsid w:val="008F7775"/>
    <w:rsid w:val="009164A5"/>
    <w:rsid w:val="00922A6A"/>
    <w:rsid w:val="00922FF7"/>
    <w:rsid w:val="00924FBF"/>
    <w:rsid w:val="00957BE9"/>
    <w:rsid w:val="00981DAF"/>
    <w:rsid w:val="00993C56"/>
    <w:rsid w:val="009941E1"/>
    <w:rsid w:val="009C0801"/>
    <w:rsid w:val="009F3D12"/>
    <w:rsid w:val="00A22F03"/>
    <w:rsid w:val="00A63EE6"/>
    <w:rsid w:val="00AB08D2"/>
    <w:rsid w:val="00AC5E60"/>
    <w:rsid w:val="00AD394A"/>
    <w:rsid w:val="00AD39DF"/>
    <w:rsid w:val="00B722B3"/>
    <w:rsid w:val="00B82168"/>
    <w:rsid w:val="00B97E01"/>
    <w:rsid w:val="00BB7222"/>
    <w:rsid w:val="00BD02C9"/>
    <w:rsid w:val="00BD0A7C"/>
    <w:rsid w:val="00C1014E"/>
    <w:rsid w:val="00C36D5D"/>
    <w:rsid w:val="00C66542"/>
    <w:rsid w:val="00C72BA1"/>
    <w:rsid w:val="00CA3E87"/>
    <w:rsid w:val="00CA50A8"/>
    <w:rsid w:val="00CC17D3"/>
    <w:rsid w:val="00CE0240"/>
    <w:rsid w:val="00CE1D1D"/>
    <w:rsid w:val="00CF798E"/>
    <w:rsid w:val="00D05B10"/>
    <w:rsid w:val="00D07D26"/>
    <w:rsid w:val="00D42D2C"/>
    <w:rsid w:val="00D44238"/>
    <w:rsid w:val="00D44F63"/>
    <w:rsid w:val="00D46042"/>
    <w:rsid w:val="00D6082C"/>
    <w:rsid w:val="00D800E5"/>
    <w:rsid w:val="00DB66E2"/>
    <w:rsid w:val="00DF6459"/>
    <w:rsid w:val="00E232DD"/>
    <w:rsid w:val="00E246D0"/>
    <w:rsid w:val="00E517E9"/>
    <w:rsid w:val="00E579F1"/>
    <w:rsid w:val="00E95F10"/>
    <w:rsid w:val="00EC3FEE"/>
    <w:rsid w:val="00ED21CC"/>
    <w:rsid w:val="00EF5397"/>
    <w:rsid w:val="00EF5F1B"/>
    <w:rsid w:val="00F049E7"/>
    <w:rsid w:val="00F04D17"/>
    <w:rsid w:val="00F50651"/>
    <w:rsid w:val="00F62BC9"/>
    <w:rsid w:val="00F648FF"/>
    <w:rsid w:val="00F67263"/>
    <w:rsid w:val="00F75DAA"/>
    <w:rsid w:val="00F772EF"/>
    <w:rsid w:val="00F85801"/>
    <w:rsid w:val="00F90DAF"/>
    <w:rsid w:val="00FB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0A357D"/>
    <w:pPr>
      <w:suppressAutoHyphens/>
    </w:pPr>
  </w:style>
  <w:style w:type="paragraph" w:styleId="Nagwek7">
    <w:name w:val="heading 7"/>
    <w:basedOn w:val="Normalny"/>
    <w:next w:val="Normalny"/>
    <w:rsid w:val="000A357D"/>
    <w:pPr>
      <w:keepNext/>
      <w:widowControl/>
      <w:suppressAutoHyphens w:val="0"/>
      <w:spacing w:line="360" w:lineRule="auto"/>
      <w:jc w:val="both"/>
      <w:textAlignment w:val="auto"/>
      <w:outlineLvl w:val="6"/>
    </w:pPr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A357D"/>
    <w:pPr>
      <w:widowControl/>
      <w:suppressAutoHyphens/>
      <w:textAlignment w:val="auto"/>
    </w:pPr>
    <w:rPr>
      <w:rFonts w:ascii="Times New Roman" w:eastAsia="Times New Roman Cyr" w:hAnsi="Times New Roman" w:cs="Times New Roman Greek"/>
      <w:lang w:eastAsia="pl-PL"/>
    </w:rPr>
  </w:style>
  <w:style w:type="paragraph" w:customStyle="1" w:styleId="Heading">
    <w:name w:val="Heading"/>
    <w:basedOn w:val="Standard"/>
    <w:next w:val="Textbody"/>
    <w:rsid w:val="000A35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0A357D"/>
    <w:pPr>
      <w:spacing w:after="140" w:line="276" w:lineRule="auto"/>
    </w:pPr>
  </w:style>
  <w:style w:type="paragraph" w:styleId="Lista">
    <w:name w:val="List"/>
    <w:basedOn w:val="Textbody"/>
    <w:rsid w:val="000A357D"/>
    <w:rPr>
      <w:rFonts w:cs="Arial"/>
    </w:rPr>
  </w:style>
  <w:style w:type="paragraph" w:styleId="Legenda">
    <w:name w:val="caption"/>
    <w:basedOn w:val="Standard"/>
    <w:rsid w:val="000A35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0A357D"/>
    <w:pPr>
      <w:suppressLineNumbers/>
    </w:pPr>
    <w:rPr>
      <w:rFonts w:cs="Arial"/>
    </w:rPr>
  </w:style>
  <w:style w:type="paragraph" w:customStyle="1" w:styleId="DocumentMap">
    <w:name w:val="DocumentMap"/>
    <w:rsid w:val="000A357D"/>
    <w:pPr>
      <w:widowControl/>
      <w:suppressAutoHyphens/>
      <w:textAlignment w:val="auto"/>
    </w:pPr>
    <w:rPr>
      <w:rFonts w:ascii="Times New Roman" w:eastAsia="Times New Roman Cyr" w:hAnsi="Times New Roman" w:cs="Times New Roman Greek"/>
      <w:sz w:val="20"/>
      <w:lang w:eastAsia="pl-PL"/>
    </w:rPr>
  </w:style>
  <w:style w:type="paragraph" w:styleId="Akapitzlist">
    <w:name w:val="List Paragraph"/>
    <w:basedOn w:val="Normalny"/>
    <w:rsid w:val="000A357D"/>
    <w:pPr>
      <w:widowControl/>
      <w:suppressAutoHyphens w:val="0"/>
      <w:ind w:left="708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agwek7Znak">
    <w:name w:val="Nagłówek 7 Znak"/>
    <w:basedOn w:val="Domylnaczcionkaakapitu"/>
    <w:rsid w:val="000A357D"/>
    <w:rPr>
      <w:rFonts w:ascii="Times New Roman" w:eastAsia="Times New Roman" w:hAnsi="Times New Roman" w:cs="Times New Roman"/>
      <w:b/>
      <w:bCs/>
      <w:kern w:val="0"/>
      <w:lang w:eastAsia="pl-PL" w:bidi="ar-SA"/>
    </w:rPr>
  </w:style>
  <w:style w:type="paragraph" w:customStyle="1" w:styleId="TableContents">
    <w:name w:val="Table Contents"/>
    <w:basedOn w:val="Standard"/>
    <w:rsid w:val="000A357D"/>
    <w:pPr>
      <w:suppressLineNumbers/>
      <w:textAlignment w:val="baseline"/>
    </w:pPr>
    <w:rPr>
      <w:rFonts w:ascii="Liberation Serif" w:eastAsia="SimSun" w:hAnsi="Liberation Serif" w:cs="Arial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52AF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52AF"/>
    <w:rPr>
      <w:rFonts w:ascii="Segoe UI" w:hAnsi="Segoe UI" w:cs="Mangal"/>
      <w:sz w:val="18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65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654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654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65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6542"/>
    <w:rPr>
      <w:rFonts w:cs="Mangal"/>
      <w:b/>
      <w:bCs/>
      <w:sz w:val="20"/>
      <w:szCs w:val="18"/>
    </w:rPr>
  </w:style>
  <w:style w:type="table" w:styleId="Tabela-Siatka">
    <w:name w:val="Table Grid"/>
    <w:basedOn w:val="Standardowy"/>
    <w:uiPriority w:val="39"/>
    <w:rsid w:val="0069760E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02A61EF6876A40A9234EC14198B590" ma:contentTypeVersion="4" ma:contentTypeDescription="Utwórz nowy dokument." ma:contentTypeScope="" ma:versionID="12adce2d793453fbff867d8e8acc22f6">
  <xsd:schema xmlns:xsd="http://www.w3.org/2001/XMLSchema" xmlns:xs="http://www.w3.org/2001/XMLSchema" xmlns:p="http://schemas.microsoft.com/office/2006/metadata/properties" xmlns:ns2="cf0102ce-6bd8-4c39-9889-f3224dcb1d18" xmlns:ns3="8a7668ca-95cd-48e1-9716-652821f61c21" targetNamespace="http://schemas.microsoft.com/office/2006/metadata/properties" ma:root="true" ma:fieldsID="56eec03a7f4b32864c13df335017db0c" ns2:_="" ns3:_="">
    <xsd:import namespace="cf0102ce-6bd8-4c39-9889-f3224dcb1d18"/>
    <xsd:import namespace="8a7668ca-95cd-48e1-9716-652821f61c2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102ce-6bd8-4c39-9889-f3224dcb1d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668ca-95cd-48e1-9716-652821f61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A5892-2959-49BB-B0C6-A62CDEB186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62BDBF-F4A1-4FE9-BF6A-CC1999A5FFA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D8994F5-B0A8-4E88-859E-74F727277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102ce-6bd8-4c39-9889-f3224dcb1d18"/>
    <ds:schemaRef ds:uri="8a7668ca-95cd-48e1-9716-652821f61c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BE91A0-4CAC-4A62-A440-ACBEE53B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1611</Words>
  <Characters>9672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dodatkowa</vt:lpstr>
    </vt:vector>
  </TitlesOfParts>
  <Company/>
  <LinksUpToDate>false</LinksUpToDate>
  <CharactersWithSpaces>11261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dodatkowa</dc:title>
  <dc:creator>j.borkowski</dc:creator>
  <cp:lastModifiedBy>ilukaszek</cp:lastModifiedBy>
  <cp:revision>2</cp:revision>
  <cp:lastPrinted>2024-03-27T12:41:00Z</cp:lastPrinted>
  <dcterms:created xsi:type="dcterms:W3CDTF">2024-04-04T06:31:00Z</dcterms:created>
  <dcterms:modified xsi:type="dcterms:W3CDTF">2024-04-04T06:31:00Z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Wydawnictwo Podatkowe GOFIN sp. z o.o.</vt:lpwstr>
  </property>
  <property fmtid="{D5CDD505-2E9C-101B-9397-08002B2CF9AE}" pid="3" name="Operator">
    <vt:lpwstr>k.adamus</vt:lpwstr>
  </property>
</Properties>
</file>