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41AB" w14:textId="61F69AAE" w:rsidR="007C25FB" w:rsidRPr="00F0151C" w:rsidRDefault="007C25FB" w:rsidP="003D312B">
      <w:pPr>
        <w:pStyle w:val="Tekst"/>
        <w:tabs>
          <w:tab w:val="left" w:pos="426"/>
          <w:tab w:val="left" w:pos="2486"/>
        </w:tabs>
        <w:spacing w:after="0" w:line="360" w:lineRule="auto"/>
        <w:jc w:val="both"/>
        <w:rPr>
          <w:rFonts w:ascii="Arial" w:hAnsi="Arial" w:cs="Arial"/>
          <w:i w:val="0"/>
          <w:iCs w:val="0"/>
          <w:color w:val="auto"/>
          <w:sz w:val="22"/>
        </w:rPr>
      </w:pPr>
      <w:r w:rsidRPr="00F0151C">
        <w:rPr>
          <w:rFonts w:ascii="Arial" w:hAnsi="Arial" w:cs="Arial"/>
          <w:i w:val="0"/>
          <w:iCs w:val="0"/>
          <w:color w:val="auto"/>
          <w:sz w:val="22"/>
        </w:rPr>
        <w:t>DUK.1711.</w:t>
      </w:r>
      <w:r w:rsidR="004B1D85" w:rsidRPr="00F0151C">
        <w:rPr>
          <w:rFonts w:ascii="Arial" w:hAnsi="Arial" w:cs="Arial"/>
          <w:i w:val="0"/>
          <w:iCs w:val="0"/>
          <w:color w:val="auto"/>
          <w:sz w:val="22"/>
        </w:rPr>
        <w:t>7</w:t>
      </w:r>
      <w:r w:rsidR="00C71899" w:rsidRPr="00F0151C">
        <w:rPr>
          <w:rFonts w:ascii="Arial" w:hAnsi="Arial" w:cs="Arial"/>
          <w:i w:val="0"/>
          <w:iCs w:val="0"/>
          <w:color w:val="auto"/>
          <w:sz w:val="22"/>
        </w:rPr>
        <w:t>.202</w:t>
      </w:r>
      <w:r w:rsidR="00841386" w:rsidRPr="00F0151C">
        <w:rPr>
          <w:rFonts w:ascii="Arial" w:hAnsi="Arial" w:cs="Arial"/>
          <w:i w:val="0"/>
          <w:iCs w:val="0"/>
          <w:color w:val="auto"/>
          <w:sz w:val="22"/>
        </w:rPr>
        <w:t>3</w:t>
      </w:r>
    </w:p>
    <w:p w14:paraId="07139963" w14:textId="1DA5FA98" w:rsidR="00EC42E3" w:rsidRPr="00F0151C" w:rsidRDefault="00EC42E3" w:rsidP="003D312B">
      <w:pPr>
        <w:pStyle w:val="Tekst"/>
        <w:tabs>
          <w:tab w:val="left" w:pos="426"/>
          <w:tab w:val="left" w:pos="2486"/>
        </w:tabs>
        <w:spacing w:after="0" w:line="360" w:lineRule="auto"/>
        <w:jc w:val="both"/>
        <w:rPr>
          <w:rFonts w:ascii="Arial" w:hAnsi="Arial" w:cs="Arial"/>
          <w:i w:val="0"/>
          <w:iCs w:val="0"/>
          <w:color w:val="auto"/>
          <w:szCs w:val="20"/>
        </w:rPr>
      </w:pPr>
    </w:p>
    <w:p w14:paraId="038B52EB" w14:textId="77777777" w:rsidR="00C40F43" w:rsidRPr="00F0151C" w:rsidRDefault="00C40F43" w:rsidP="003D312B">
      <w:pPr>
        <w:pStyle w:val="Tekst"/>
        <w:tabs>
          <w:tab w:val="left" w:pos="426"/>
          <w:tab w:val="left" w:pos="2486"/>
        </w:tabs>
        <w:spacing w:after="0" w:line="360" w:lineRule="auto"/>
        <w:jc w:val="both"/>
        <w:rPr>
          <w:rFonts w:ascii="Arial" w:hAnsi="Arial" w:cs="Arial"/>
          <w:i w:val="0"/>
          <w:iCs w:val="0"/>
          <w:color w:val="auto"/>
          <w:szCs w:val="20"/>
        </w:rPr>
      </w:pPr>
    </w:p>
    <w:p w14:paraId="15F01168" w14:textId="77777777" w:rsidR="007C25FB" w:rsidRPr="00F0151C" w:rsidRDefault="007C25FB" w:rsidP="00E348D4">
      <w:pPr>
        <w:pStyle w:val="Domylnie"/>
        <w:tabs>
          <w:tab w:val="left" w:pos="426"/>
        </w:tabs>
        <w:jc w:val="center"/>
        <w:rPr>
          <w:rFonts w:ascii="Arial" w:hAnsi="Arial" w:cs="Arial"/>
          <w:color w:val="auto"/>
          <w:sz w:val="22"/>
          <w:szCs w:val="22"/>
          <w:lang w:val="pl-PL"/>
        </w:rPr>
      </w:pPr>
      <w:r w:rsidRPr="00F0151C">
        <w:rPr>
          <w:rFonts w:ascii="Arial" w:hAnsi="Arial" w:cs="Arial"/>
          <w:color w:val="auto"/>
          <w:sz w:val="22"/>
          <w:szCs w:val="22"/>
          <w:lang w:val="pl-PL"/>
        </w:rPr>
        <w:t>Protokół</w:t>
      </w:r>
    </w:p>
    <w:p w14:paraId="35D87D3A" w14:textId="12F8AF9B" w:rsidR="007C25FB" w:rsidRPr="00F0151C" w:rsidRDefault="007C25FB" w:rsidP="003D312B">
      <w:pPr>
        <w:pStyle w:val="Domylnie"/>
        <w:tabs>
          <w:tab w:val="left" w:pos="426"/>
        </w:tabs>
        <w:rPr>
          <w:rFonts w:ascii="Arial" w:hAnsi="Arial" w:cs="Arial"/>
          <w:color w:val="auto"/>
          <w:sz w:val="20"/>
          <w:szCs w:val="20"/>
          <w:lang w:val="pl-PL"/>
        </w:rPr>
      </w:pPr>
    </w:p>
    <w:p w14:paraId="6975838E" w14:textId="77777777" w:rsidR="00C40F43" w:rsidRPr="00F0151C" w:rsidRDefault="00C40F43" w:rsidP="003D312B">
      <w:pPr>
        <w:pStyle w:val="Domylnie"/>
        <w:tabs>
          <w:tab w:val="left" w:pos="426"/>
        </w:tabs>
        <w:rPr>
          <w:rFonts w:ascii="Arial" w:hAnsi="Arial" w:cs="Arial"/>
          <w:color w:val="auto"/>
          <w:sz w:val="20"/>
          <w:szCs w:val="20"/>
          <w:lang w:val="pl-PL"/>
        </w:rPr>
      </w:pPr>
    </w:p>
    <w:p w14:paraId="50FFFEE5" w14:textId="7FA984F5" w:rsidR="0057072D" w:rsidRPr="00F0151C" w:rsidRDefault="0057072D" w:rsidP="0057072D">
      <w:pPr>
        <w:pStyle w:val="Tekst"/>
        <w:tabs>
          <w:tab w:val="left" w:pos="426"/>
        </w:tabs>
        <w:spacing w:after="0" w:line="360" w:lineRule="auto"/>
        <w:jc w:val="both"/>
        <w:rPr>
          <w:rFonts w:ascii="Arial" w:hAnsi="Arial" w:cs="Arial"/>
          <w:i w:val="0"/>
          <w:iCs w:val="0"/>
          <w:color w:val="auto"/>
          <w:sz w:val="22"/>
        </w:rPr>
      </w:pPr>
      <w:r w:rsidRPr="00F0151C">
        <w:rPr>
          <w:rFonts w:ascii="Arial" w:hAnsi="Arial" w:cs="Arial"/>
          <w:i w:val="0"/>
          <w:iCs w:val="0"/>
          <w:color w:val="auto"/>
          <w:sz w:val="22"/>
        </w:rPr>
        <w:t>kontroli planowej przeprowadzonej w Miejskim Zarządzie Budynków Mieszkalnych w Tychach w dniach od</w:t>
      </w:r>
      <w:r w:rsidR="00DE0BC5" w:rsidRPr="00F0151C">
        <w:rPr>
          <w:rFonts w:ascii="Arial" w:hAnsi="Arial" w:cs="Arial"/>
          <w:bCs/>
          <w:i w:val="0"/>
          <w:iCs w:val="0"/>
          <w:color w:val="auto"/>
          <w:sz w:val="22"/>
        </w:rPr>
        <w:t xml:space="preserve"> 24.07.2023 r. do 11.08.2023 r. oraz  od 21.08.2023 r. do 8.09.2023 r. </w:t>
      </w:r>
      <w:r w:rsidRPr="00F0151C">
        <w:rPr>
          <w:rFonts w:ascii="Arial" w:hAnsi="Arial" w:cs="Arial"/>
          <w:i w:val="0"/>
          <w:iCs w:val="0"/>
          <w:color w:val="auto"/>
          <w:sz w:val="22"/>
        </w:rPr>
        <w:t xml:space="preserve">przez mgr </w:t>
      </w:r>
      <w:r w:rsidR="00DE0BC5" w:rsidRPr="00F0151C">
        <w:rPr>
          <w:rFonts w:ascii="Arial" w:hAnsi="Arial" w:cs="Arial"/>
          <w:i w:val="0"/>
          <w:iCs w:val="0"/>
          <w:color w:val="auto"/>
          <w:sz w:val="22"/>
        </w:rPr>
        <w:t xml:space="preserve">Agnieszkę Olak </w:t>
      </w:r>
      <w:r w:rsidR="00B7355C" w:rsidRPr="00F0151C">
        <w:rPr>
          <w:rFonts w:ascii="Arial" w:hAnsi="Arial" w:cs="Arial"/>
          <w:i w:val="0"/>
          <w:iCs w:val="0"/>
          <w:color w:val="auto"/>
          <w:sz w:val="22"/>
        </w:rPr>
        <w:t>n</w:t>
      </w:r>
      <w:r w:rsidR="00DE0BC5" w:rsidRPr="00F0151C">
        <w:rPr>
          <w:rFonts w:ascii="Arial" w:hAnsi="Arial" w:cs="Arial"/>
          <w:i w:val="0"/>
          <w:iCs w:val="0"/>
          <w:color w:val="auto"/>
          <w:sz w:val="22"/>
        </w:rPr>
        <w:t xml:space="preserve">aczelnika Wydziału Kontroli Urzędu Miasta Tychy, mgr </w:t>
      </w:r>
      <w:r w:rsidRPr="00F0151C">
        <w:rPr>
          <w:rFonts w:ascii="Arial" w:hAnsi="Arial" w:cs="Arial"/>
          <w:i w:val="0"/>
          <w:iCs w:val="0"/>
          <w:color w:val="auto"/>
          <w:sz w:val="22"/>
        </w:rPr>
        <w:t xml:space="preserve">Annę Wardzińską oraz mgr Agnieszkę </w:t>
      </w:r>
      <w:r w:rsidR="00B7355C" w:rsidRPr="00F0151C">
        <w:rPr>
          <w:rFonts w:ascii="Arial" w:hAnsi="Arial" w:cs="Arial"/>
          <w:i w:val="0"/>
          <w:iCs w:val="0"/>
          <w:color w:val="auto"/>
          <w:sz w:val="22"/>
        </w:rPr>
        <w:t xml:space="preserve">Szymańską głównych specjalistów </w:t>
      </w:r>
      <w:r w:rsidRPr="00F0151C">
        <w:rPr>
          <w:rFonts w:ascii="Arial" w:hAnsi="Arial" w:cs="Arial"/>
          <w:i w:val="0"/>
          <w:iCs w:val="0"/>
          <w:color w:val="auto"/>
          <w:sz w:val="22"/>
        </w:rPr>
        <w:t xml:space="preserve">Wydziału Kontroli Urzędu Miasta Tychy na podstawie upoważnień odpowiednio nr </w:t>
      </w:r>
      <w:r w:rsidR="00B7355C" w:rsidRPr="00F0151C">
        <w:rPr>
          <w:rFonts w:ascii="Arial" w:hAnsi="Arial" w:cs="Arial"/>
          <w:i w:val="0"/>
          <w:iCs w:val="0"/>
          <w:color w:val="auto"/>
          <w:sz w:val="22"/>
        </w:rPr>
        <w:t>0052.1/97/23</w:t>
      </w:r>
      <w:r w:rsidRPr="00F0151C">
        <w:rPr>
          <w:rFonts w:ascii="Arial" w:hAnsi="Arial" w:cs="Arial"/>
          <w:i w:val="0"/>
          <w:iCs w:val="0"/>
          <w:color w:val="auto"/>
          <w:sz w:val="22"/>
        </w:rPr>
        <w:t>, nr 0052.1/</w:t>
      </w:r>
      <w:r w:rsidR="00B7355C" w:rsidRPr="00F0151C">
        <w:rPr>
          <w:rFonts w:ascii="Arial" w:hAnsi="Arial" w:cs="Arial"/>
          <w:i w:val="0"/>
          <w:iCs w:val="0"/>
          <w:color w:val="auto"/>
          <w:sz w:val="22"/>
        </w:rPr>
        <w:t>9</w:t>
      </w:r>
      <w:r w:rsidR="001A74D0" w:rsidRPr="00F0151C">
        <w:rPr>
          <w:rFonts w:ascii="Arial" w:hAnsi="Arial" w:cs="Arial"/>
          <w:i w:val="0"/>
          <w:iCs w:val="0"/>
          <w:color w:val="auto"/>
          <w:sz w:val="22"/>
        </w:rPr>
        <w:t>8</w:t>
      </w:r>
      <w:r w:rsidRPr="00F0151C">
        <w:rPr>
          <w:rFonts w:ascii="Arial" w:hAnsi="Arial" w:cs="Arial"/>
          <w:i w:val="0"/>
          <w:iCs w:val="0"/>
          <w:color w:val="auto"/>
          <w:sz w:val="22"/>
        </w:rPr>
        <w:t>/</w:t>
      </w:r>
      <w:r w:rsidR="00B7355C" w:rsidRPr="00F0151C">
        <w:rPr>
          <w:rFonts w:ascii="Arial" w:hAnsi="Arial" w:cs="Arial"/>
          <w:i w:val="0"/>
          <w:iCs w:val="0"/>
          <w:color w:val="auto"/>
          <w:sz w:val="22"/>
        </w:rPr>
        <w:t>23</w:t>
      </w:r>
      <w:r w:rsidRPr="00F0151C">
        <w:rPr>
          <w:rFonts w:ascii="Arial" w:hAnsi="Arial" w:cs="Arial"/>
          <w:i w:val="0"/>
          <w:iCs w:val="0"/>
          <w:color w:val="auto"/>
          <w:sz w:val="22"/>
        </w:rPr>
        <w:t>, nr </w:t>
      </w:r>
      <w:r w:rsidR="00B7355C" w:rsidRPr="00F0151C">
        <w:rPr>
          <w:rFonts w:ascii="Arial" w:hAnsi="Arial" w:cs="Arial"/>
          <w:i w:val="0"/>
          <w:iCs w:val="0"/>
          <w:color w:val="auto"/>
          <w:sz w:val="22"/>
        </w:rPr>
        <w:t xml:space="preserve">0052.1/99/23 z </w:t>
      </w:r>
      <w:r w:rsidRPr="00F0151C">
        <w:rPr>
          <w:rFonts w:ascii="Arial" w:hAnsi="Arial" w:cs="Arial"/>
          <w:i w:val="0"/>
          <w:iCs w:val="0"/>
          <w:color w:val="auto"/>
          <w:sz w:val="22"/>
        </w:rPr>
        <w:t xml:space="preserve">dnia </w:t>
      </w:r>
      <w:r w:rsidR="00B7355C" w:rsidRPr="00F0151C">
        <w:rPr>
          <w:rFonts w:ascii="Arial" w:hAnsi="Arial" w:cs="Arial"/>
          <w:i w:val="0"/>
          <w:iCs w:val="0"/>
          <w:color w:val="auto"/>
          <w:sz w:val="22"/>
        </w:rPr>
        <w:t xml:space="preserve">19 lipca </w:t>
      </w:r>
      <w:r w:rsidRPr="00F0151C">
        <w:rPr>
          <w:rFonts w:ascii="Arial" w:hAnsi="Arial" w:cs="Arial"/>
          <w:i w:val="0"/>
          <w:iCs w:val="0"/>
          <w:color w:val="auto"/>
          <w:sz w:val="22"/>
        </w:rPr>
        <w:t>20</w:t>
      </w:r>
      <w:r w:rsidR="00B7355C" w:rsidRPr="00F0151C">
        <w:rPr>
          <w:rFonts w:ascii="Arial" w:hAnsi="Arial" w:cs="Arial"/>
          <w:i w:val="0"/>
          <w:iCs w:val="0"/>
          <w:color w:val="auto"/>
          <w:sz w:val="22"/>
        </w:rPr>
        <w:t>23</w:t>
      </w:r>
      <w:r w:rsidRPr="00F0151C">
        <w:rPr>
          <w:rFonts w:ascii="Arial" w:hAnsi="Arial" w:cs="Arial"/>
          <w:i w:val="0"/>
          <w:iCs w:val="0"/>
          <w:color w:val="auto"/>
          <w:sz w:val="22"/>
        </w:rPr>
        <w:t xml:space="preserve"> r. wydanych przez Prezydenta Miasta Tychy.</w:t>
      </w:r>
    </w:p>
    <w:p w14:paraId="00EA9888" w14:textId="77777777" w:rsidR="007C25FB" w:rsidRPr="00F0151C" w:rsidRDefault="007C25FB" w:rsidP="003D312B">
      <w:pPr>
        <w:pStyle w:val="Tekst"/>
        <w:tabs>
          <w:tab w:val="left" w:pos="426"/>
        </w:tabs>
        <w:spacing w:after="0" w:line="360" w:lineRule="auto"/>
        <w:jc w:val="both"/>
        <w:rPr>
          <w:rFonts w:ascii="Arial" w:hAnsi="Arial" w:cs="Arial"/>
          <w:i w:val="0"/>
          <w:iCs w:val="0"/>
          <w:color w:val="auto"/>
          <w:sz w:val="8"/>
          <w:szCs w:val="8"/>
        </w:rPr>
      </w:pPr>
    </w:p>
    <w:tbl>
      <w:tblPr>
        <w:tblW w:w="8931" w:type="dxa"/>
        <w:tblCellMar>
          <w:left w:w="70" w:type="dxa"/>
          <w:right w:w="70" w:type="dxa"/>
        </w:tblCellMar>
        <w:tblLook w:val="0000" w:firstRow="0" w:lastRow="0" w:firstColumn="0" w:lastColumn="0" w:noHBand="0" w:noVBand="0"/>
      </w:tblPr>
      <w:tblGrid>
        <w:gridCol w:w="8931"/>
      </w:tblGrid>
      <w:tr w:rsidR="00F0151C" w:rsidRPr="00F0151C" w14:paraId="2F4FA5E6" w14:textId="77777777" w:rsidTr="00A16D12">
        <w:trPr>
          <w:cantSplit/>
        </w:trPr>
        <w:tc>
          <w:tcPr>
            <w:tcW w:w="8931" w:type="dxa"/>
            <w:shd w:val="clear" w:color="auto" w:fill="D9D9D9"/>
            <w:vAlign w:val="bottom"/>
          </w:tcPr>
          <w:p w14:paraId="42EA3DBF" w14:textId="77777777" w:rsidR="007C25FB" w:rsidRPr="00F0151C" w:rsidRDefault="007C25FB" w:rsidP="00D71B1B">
            <w:pPr>
              <w:pStyle w:val="Domylnie"/>
              <w:numPr>
                <w:ilvl w:val="0"/>
                <w:numId w:val="4"/>
              </w:numPr>
              <w:tabs>
                <w:tab w:val="left" w:pos="426"/>
              </w:tabs>
              <w:ind w:left="357" w:hanging="357"/>
              <w:rPr>
                <w:rFonts w:ascii="Arial" w:hAnsi="Arial" w:cs="Arial"/>
                <w:color w:val="auto"/>
                <w:sz w:val="22"/>
                <w:szCs w:val="22"/>
                <w:lang w:val="pl-PL"/>
              </w:rPr>
            </w:pPr>
            <w:bookmarkStart w:id="0" w:name="_Hlk109286504"/>
            <w:r w:rsidRPr="00F0151C">
              <w:rPr>
                <w:rFonts w:ascii="Arial" w:hAnsi="Arial" w:cs="Arial"/>
                <w:b/>
                <w:bCs/>
                <w:color w:val="auto"/>
                <w:sz w:val="22"/>
                <w:szCs w:val="22"/>
                <w:lang w:val="pl-PL"/>
              </w:rPr>
              <w:t>Zakres kontroli</w:t>
            </w:r>
            <w:r w:rsidRPr="00F0151C">
              <w:rPr>
                <w:rFonts w:ascii="Arial" w:hAnsi="Arial" w:cs="Arial"/>
                <w:b/>
                <w:color w:val="auto"/>
                <w:sz w:val="22"/>
                <w:szCs w:val="22"/>
                <w:lang w:val="pl-PL"/>
              </w:rPr>
              <w:t>:</w:t>
            </w:r>
          </w:p>
        </w:tc>
      </w:tr>
      <w:bookmarkEnd w:id="0"/>
    </w:tbl>
    <w:p w14:paraId="7346EAF7" w14:textId="77777777" w:rsidR="00A16D12" w:rsidRPr="00F0151C" w:rsidRDefault="00A16D12" w:rsidP="00D94148">
      <w:pPr>
        <w:pStyle w:val="Domylnie"/>
        <w:rPr>
          <w:rFonts w:ascii="Arial" w:hAnsi="Arial" w:cs="Arial"/>
          <w:bCs/>
          <w:color w:val="auto"/>
          <w:sz w:val="6"/>
          <w:szCs w:val="6"/>
          <w:lang w:val="pl-PL"/>
        </w:rPr>
      </w:pPr>
    </w:p>
    <w:p w14:paraId="51BC3CDA" w14:textId="7AB92BFD" w:rsidR="0057072D" w:rsidRPr="00F0151C" w:rsidRDefault="00B7355C" w:rsidP="0057072D">
      <w:pPr>
        <w:pStyle w:val="Domylnie"/>
        <w:tabs>
          <w:tab w:val="left" w:pos="426"/>
        </w:tabs>
        <w:rPr>
          <w:rFonts w:ascii="Arial" w:hAnsi="Arial" w:cs="Arial"/>
          <w:bCs/>
          <w:color w:val="auto"/>
          <w:sz w:val="22"/>
          <w:szCs w:val="22"/>
          <w:lang w:val="pl-PL"/>
        </w:rPr>
      </w:pPr>
      <w:r w:rsidRPr="00F0151C">
        <w:rPr>
          <w:rFonts w:ascii="Arial" w:hAnsi="Arial" w:cs="Arial"/>
          <w:color w:val="auto"/>
          <w:sz w:val="22"/>
          <w:szCs w:val="22"/>
          <w:lang w:val="pl-PL"/>
        </w:rPr>
        <w:t>Księgowość i sprawozdawczość, gospodarka majątkiem trwałym, zamówienia publiczne  oraz gospodarność i celowość dysponowania środkami w okresie od 1.01.2022 r. do dnia kontroli oraz w zakresie realizacji wniosków pokontrolnych</w:t>
      </w:r>
    </w:p>
    <w:tbl>
      <w:tblPr>
        <w:tblW w:w="8945" w:type="dxa"/>
        <w:tblCellMar>
          <w:left w:w="70" w:type="dxa"/>
          <w:right w:w="70" w:type="dxa"/>
        </w:tblCellMar>
        <w:tblLook w:val="0000" w:firstRow="0" w:lastRow="0" w:firstColumn="0" w:lastColumn="0" w:noHBand="0" w:noVBand="0"/>
      </w:tblPr>
      <w:tblGrid>
        <w:gridCol w:w="8945"/>
      </w:tblGrid>
      <w:tr w:rsidR="00F0151C" w:rsidRPr="00F0151C" w14:paraId="360845EF" w14:textId="77777777" w:rsidTr="00A16D12">
        <w:trPr>
          <w:cantSplit/>
        </w:trPr>
        <w:tc>
          <w:tcPr>
            <w:tcW w:w="8945" w:type="dxa"/>
            <w:shd w:val="clear" w:color="auto" w:fill="D9D9D9"/>
          </w:tcPr>
          <w:p w14:paraId="564F29ED" w14:textId="471B5954" w:rsidR="00D94148" w:rsidRPr="00F0151C" w:rsidRDefault="00D94148" w:rsidP="00D71B1B">
            <w:pPr>
              <w:pStyle w:val="Domylnie"/>
              <w:numPr>
                <w:ilvl w:val="0"/>
                <w:numId w:val="4"/>
              </w:numPr>
              <w:tabs>
                <w:tab w:val="left" w:pos="426"/>
              </w:tabs>
              <w:rPr>
                <w:rFonts w:ascii="Arial" w:hAnsi="Arial" w:cs="Arial"/>
                <w:color w:val="auto"/>
                <w:sz w:val="22"/>
                <w:szCs w:val="22"/>
                <w:lang w:val="pl-PL"/>
              </w:rPr>
            </w:pPr>
            <w:r w:rsidRPr="00F0151C">
              <w:rPr>
                <w:rFonts w:ascii="Arial" w:hAnsi="Arial" w:cs="Arial"/>
                <w:b/>
                <w:color w:val="auto"/>
                <w:sz w:val="22"/>
                <w:szCs w:val="22"/>
                <w:lang w:val="pl-PL"/>
              </w:rPr>
              <w:t>Kierownictwo jednostki:</w:t>
            </w:r>
          </w:p>
        </w:tc>
      </w:tr>
    </w:tbl>
    <w:p w14:paraId="57DF45F4" w14:textId="77777777" w:rsidR="00A16D12" w:rsidRPr="00F0151C" w:rsidRDefault="00A16D12" w:rsidP="00A16D12">
      <w:pPr>
        <w:pStyle w:val="Akapitzlist"/>
        <w:overflowPunct/>
        <w:ind w:left="434"/>
        <w:rPr>
          <w:rFonts w:ascii="Arial" w:hAnsi="Arial" w:cs="Arial"/>
          <w:color w:val="auto"/>
          <w:sz w:val="6"/>
          <w:szCs w:val="6"/>
          <w:lang w:val="pl-PL"/>
        </w:rPr>
      </w:pPr>
    </w:p>
    <w:p w14:paraId="6686D682" w14:textId="0E5DFC32" w:rsidR="0057072D" w:rsidRPr="00F0151C" w:rsidRDefault="00345A8D" w:rsidP="00D71B1B">
      <w:pPr>
        <w:pStyle w:val="Domylnie"/>
        <w:numPr>
          <w:ilvl w:val="0"/>
          <w:numId w:val="6"/>
        </w:numPr>
        <w:ind w:left="476" w:hanging="420"/>
        <w:rPr>
          <w:rFonts w:ascii="Arial" w:hAnsi="Arial" w:cs="Arial"/>
          <w:color w:val="auto"/>
          <w:sz w:val="22"/>
          <w:szCs w:val="22"/>
          <w:lang w:val="pl-PL"/>
        </w:rPr>
      </w:pPr>
      <w:r w:rsidRPr="00F0151C">
        <w:rPr>
          <w:rFonts w:ascii="Arial" w:hAnsi="Arial" w:cs="Arial"/>
          <w:color w:val="auto"/>
          <w:sz w:val="22"/>
          <w:szCs w:val="22"/>
          <w:lang w:val="pl-PL"/>
        </w:rPr>
        <w:t>m</w:t>
      </w:r>
      <w:r w:rsidR="0057072D" w:rsidRPr="00F0151C">
        <w:rPr>
          <w:rFonts w:ascii="Arial" w:hAnsi="Arial" w:cs="Arial"/>
          <w:color w:val="auto"/>
          <w:sz w:val="22"/>
          <w:szCs w:val="22"/>
          <w:lang w:val="pl-PL"/>
        </w:rPr>
        <w:t>gr</w:t>
      </w:r>
      <w:r w:rsidRPr="00F0151C">
        <w:rPr>
          <w:rFonts w:ascii="Arial" w:hAnsi="Arial" w:cs="Arial"/>
          <w:color w:val="auto"/>
          <w:sz w:val="22"/>
          <w:szCs w:val="22"/>
          <w:lang w:val="pl-PL"/>
        </w:rPr>
        <w:t xml:space="preserve"> inż.</w:t>
      </w:r>
      <w:r w:rsidR="0057072D" w:rsidRPr="00F0151C">
        <w:rPr>
          <w:rFonts w:ascii="Arial" w:hAnsi="Arial" w:cs="Arial"/>
          <w:color w:val="auto"/>
          <w:sz w:val="22"/>
          <w:szCs w:val="22"/>
          <w:lang w:val="pl-PL"/>
        </w:rPr>
        <w:t xml:space="preserve"> </w:t>
      </w:r>
      <w:r w:rsidR="00B7355C" w:rsidRPr="00F0151C">
        <w:rPr>
          <w:rFonts w:ascii="Arial" w:hAnsi="Arial" w:cs="Arial"/>
          <w:color w:val="auto"/>
          <w:sz w:val="22"/>
          <w:szCs w:val="22"/>
          <w:lang w:val="pl-PL"/>
        </w:rPr>
        <w:t>Agata Goc</w:t>
      </w:r>
      <w:r w:rsidR="0057072D" w:rsidRPr="00F0151C">
        <w:rPr>
          <w:rFonts w:ascii="Arial" w:hAnsi="Arial" w:cs="Arial"/>
          <w:color w:val="auto"/>
          <w:sz w:val="22"/>
          <w:szCs w:val="22"/>
          <w:lang w:val="pl-PL"/>
        </w:rPr>
        <w:t xml:space="preserve"> – Dyrektor Miejskiego Zarządu Budynków Mieszkalnych </w:t>
      </w:r>
      <w:r w:rsidR="0057072D" w:rsidRPr="00F0151C">
        <w:rPr>
          <w:rFonts w:ascii="Arial" w:hAnsi="Arial" w:cs="Arial"/>
          <w:color w:val="auto"/>
          <w:sz w:val="22"/>
          <w:szCs w:val="22"/>
          <w:lang w:val="pl-PL"/>
        </w:rPr>
        <w:br/>
        <w:t xml:space="preserve">w Tychach od dnia </w:t>
      </w:r>
      <w:r w:rsidR="00DD583A" w:rsidRPr="00F0151C">
        <w:rPr>
          <w:rFonts w:ascii="Arial" w:hAnsi="Arial" w:cs="Arial"/>
          <w:color w:val="auto"/>
          <w:sz w:val="22"/>
          <w:szCs w:val="22"/>
          <w:lang w:val="pl-PL"/>
        </w:rPr>
        <w:t>17</w:t>
      </w:r>
      <w:r w:rsidR="0057072D" w:rsidRPr="00F0151C">
        <w:rPr>
          <w:rFonts w:ascii="Arial" w:hAnsi="Arial" w:cs="Arial"/>
          <w:color w:val="auto"/>
          <w:sz w:val="22"/>
          <w:szCs w:val="22"/>
          <w:lang w:val="pl-PL"/>
        </w:rPr>
        <w:t>.0</w:t>
      </w:r>
      <w:r w:rsidR="00DD583A" w:rsidRPr="00F0151C">
        <w:rPr>
          <w:rFonts w:ascii="Arial" w:hAnsi="Arial" w:cs="Arial"/>
          <w:color w:val="auto"/>
          <w:sz w:val="22"/>
          <w:szCs w:val="22"/>
          <w:lang w:val="pl-PL"/>
        </w:rPr>
        <w:t>8</w:t>
      </w:r>
      <w:r w:rsidR="0057072D" w:rsidRPr="00F0151C">
        <w:rPr>
          <w:rFonts w:ascii="Arial" w:hAnsi="Arial" w:cs="Arial"/>
          <w:color w:val="auto"/>
          <w:sz w:val="22"/>
          <w:szCs w:val="22"/>
          <w:lang w:val="pl-PL"/>
        </w:rPr>
        <w:t>.</w:t>
      </w:r>
      <w:r w:rsidR="00B7355C" w:rsidRPr="00F0151C">
        <w:rPr>
          <w:rFonts w:ascii="Arial" w:hAnsi="Arial" w:cs="Arial"/>
          <w:color w:val="auto"/>
          <w:sz w:val="22"/>
          <w:szCs w:val="22"/>
          <w:lang w:val="pl-PL"/>
        </w:rPr>
        <w:t>2020</w:t>
      </w:r>
      <w:r w:rsidR="0057072D" w:rsidRPr="00F0151C">
        <w:rPr>
          <w:rFonts w:ascii="Arial" w:hAnsi="Arial" w:cs="Arial"/>
          <w:color w:val="auto"/>
          <w:sz w:val="22"/>
          <w:szCs w:val="22"/>
          <w:lang w:val="pl-PL"/>
        </w:rPr>
        <w:t xml:space="preserve"> r. do </w:t>
      </w:r>
      <w:r w:rsidR="00B7355C" w:rsidRPr="00F0151C">
        <w:rPr>
          <w:rFonts w:ascii="Arial" w:hAnsi="Arial" w:cs="Arial"/>
          <w:color w:val="auto"/>
          <w:sz w:val="22"/>
          <w:szCs w:val="22"/>
          <w:lang w:val="pl-PL"/>
        </w:rPr>
        <w:t>nadal</w:t>
      </w:r>
      <w:r w:rsidR="00501ECB" w:rsidRPr="00F0151C">
        <w:rPr>
          <w:rFonts w:ascii="Arial" w:hAnsi="Arial" w:cs="Arial"/>
          <w:color w:val="auto"/>
          <w:sz w:val="22"/>
          <w:szCs w:val="22"/>
          <w:lang w:val="pl-PL"/>
        </w:rPr>
        <w:t>,</w:t>
      </w:r>
    </w:p>
    <w:p w14:paraId="4023455B" w14:textId="3DCCDF6C" w:rsidR="0057072D" w:rsidRPr="00F0151C" w:rsidRDefault="0057072D" w:rsidP="00D71B1B">
      <w:pPr>
        <w:pStyle w:val="Domylnie"/>
        <w:numPr>
          <w:ilvl w:val="0"/>
          <w:numId w:val="6"/>
        </w:numPr>
        <w:ind w:left="476" w:hanging="420"/>
        <w:rPr>
          <w:rFonts w:ascii="Arial" w:hAnsi="Arial" w:cs="Arial"/>
          <w:color w:val="auto"/>
          <w:sz w:val="22"/>
          <w:szCs w:val="22"/>
          <w:lang w:val="pl-PL"/>
        </w:rPr>
      </w:pPr>
      <w:r w:rsidRPr="00F0151C">
        <w:rPr>
          <w:rFonts w:ascii="Arial" w:hAnsi="Arial" w:cs="Arial"/>
          <w:color w:val="auto"/>
          <w:sz w:val="22"/>
          <w:szCs w:val="22"/>
          <w:lang w:val="pl-PL"/>
        </w:rPr>
        <w:t xml:space="preserve">mgr </w:t>
      </w:r>
      <w:r w:rsidR="00B7355C" w:rsidRPr="00F0151C">
        <w:rPr>
          <w:rFonts w:ascii="Arial" w:hAnsi="Arial" w:cs="Arial"/>
          <w:color w:val="auto"/>
          <w:sz w:val="22"/>
          <w:szCs w:val="22"/>
          <w:lang w:val="pl-PL"/>
        </w:rPr>
        <w:t>Iwona Kaczmarczyk</w:t>
      </w:r>
      <w:r w:rsidRPr="00F0151C">
        <w:rPr>
          <w:rFonts w:ascii="Arial" w:hAnsi="Arial" w:cs="Arial"/>
          <w:color w:val="auto"/>
          <w:sz w:val="22"/>
          <w:szCs w:val="22"/>
          <w:lang w:val="pl-PL"/>
        </w:rPr>
        <w:t xml:space="preserve"> – Główna Księgowa Miejskiego Zarządu Budynków Mieszkalnych w Tychach od dnia </w:t>
      </w:r>
      <w:r w:rsidR="00DD583A" w:rsidRPr="00F0151C">
        <w:rPr>
          <w:rFonts w:ascii="Arial" w:hAnsi="Arial" w:cs="Arial"/>
          <w:color w:val="auto"/>
          <w:sz w:val="22"/>
          <w:szCs w:val="22"/>
          <w:lang w:val="pl-PL"/>
        </w:rPr>
        <w:t>28</w:t>
      </w:r>
      <w:r w:rsidRPr="00F0151C">
        <w:rPr>
          <w:rFonts w:ascii="Arial" w:hAnsi="Arial" w:cs="Arial"/>
          <w:color w:val="auto"/>
          <w:sz w:val="22"/>
          <w:szCs w:val="22"/>
          <w:lang w:val="pl-PL"/>
        </w:rPr>
        <w:t>.</w:t>
      </w:r>
      <w:r w:rsidR="00DD583A" w:rsidRPr="00F0151C">
        <w:rPr>
          <w:rFonts w:ascii="Arial" w:hAnsi="Arial" w:cs="Arial"/>
          <w:color w:val="auto"/>
          <w:sz w:val="22"/>
          <w:szCs w:val="22"/>
          <w:lang w:val="pl-PL"/>
        </w:rPr>
        <w:t>07</w:t>
      </w:r>
      <w:r w:rsidRPr="00F0151C">
        <w:rPr>
          <w:rFonts w:ascii="Arial" w:hAnsi="Arial" w:cs="Arial"/>
          <w:color w:val="auto"/>
          <w:sz w:val="22"/>
          <w:szCs w:val="22"/>
          <w:lang w:val="pl-PL"/>
        </w:rPr>
        <w:t>.</w:t>
      </w:r>
      <w:r w:rsidR="00B7355C" w:rsidRPr="00F0151C">
        <w:rPr>
          <w:rFonts w:ascii="Arial" w:hAnsi="Arial" w:cs="Arial"/>
          <w:color w:val="auto"/>
          <w:sz w:val="22"/>
          <w:szCs w:val="22"/>
          <w:lang w:val="pl-PL"/>
        </w:rPr>
        <w:t>2020</w:t>
      </w:r>
      <w:r w:rsidRPr="00F0151C">
        <w:rPr>
          <w:rFonts w:ascii="Arial" w:hAnsi="Arial" w:cs="Arial"/>
          <w:color w:val="auto"/>
          <w:sz w:val="22"/>
          <w:szCs w:val="22"/>
          <w:lang w:val="pl-PL"/>
        </w:rPr>
        <w:t xml:space="preserve"> r. do nadal</w:t>
      </w:r>
      <w:r w:rsidR="0072468D" w:rsidRPr="00F0151C">
        <w:rPr>
          <w:rFonts w:ascii="Arial" w:hAnsi="Arial" w:cs="Arial"/>
          <w:color w:val="auto"/>
          <w:sz w:val="22"/>
          <w:szCs w:val="22"/>
          <w:lang w:val="pl-PL"/>
        </w:rPr>
        <w:t>.</w:t>
      </w:r>
    </w:p>
    <w:tbl>
      <w:tblPr>
        <w:tblW w:w="8931" w:type="dxa"/>
        <w:tblCellMar>
          <w:left w:w="70" w:type="dxa"/>
          <w:right w:w="70" w:type="dxa"/>
        </w:tblCellMar>
        <w:tblLook w:val="0000" w:firstRow="0" w:lastRow="0" w:firstColumn="0" w:lastColumn="0" w:noHBand="0" w:noVBand="0"/>
      </w:tblPr>
      <w:tblGrid>
        <w:gridCol w:w="8931"/>
      </w:tblGrid>
      <w:tr w:rsidR="00F0151C" w:rsidRPr="00F0151C" w14:paraId="7FADDA62" w14:textId="77777777" w:rsidTr="00A16D12">
        <w:trPr>
          <w:cantSplit/>
        </w:trPr>
        <w:tc>
          <w:tcPr>
            <w:tcW w:w="8931" w:type="dxa"/>
            <w:shd w:val="clear" w:color="auto" w:fill="D9D9D9"/>
            <w:vAlign w:val="bottom"/>
          </w:tcPr>
          <w:p w14:paraId="628E144E" w14:textId="17D23468" w:rsidR="007C25FB" w:rsidRPr="00F0151C" w:rsidRDefault="007C25FB" w:rsidP="00A23B01">
            <w:pPr>
              <w:pStyle w:val="Domylnie"/>
              <w:tabs>
                <w:tab w:val="left" w:pos="419"/>
              </w:tabs>
              <w:rPr>
                <w:rFonts w:ascii="Arial" w:hAnsi="Arial" w:cs="Arial"/>
                <w:b/>
                <w:bCs/>
                <w:color w:val="auto"/>
                <w:sz w:val="22"/>
                <w:szCs w:val="22"/>
                <w:lang w:val="pl-PL"/>
              </w:rPr>
            </w:pPr>
            <w:r w:rsidRPr="00F0151C">
              <w:rPr>
                <w:rFonts w:ascii="Arial" w:hAnsi="Arial" w:cs="Arial"/>
                <w:b/>
                <w:bCs/>
                <w:color w:val="auto"/>
                <w:sz w:val="22"/>
                <w:szCs w:val="22"/>
                <w:lang w:val="pl-PL"/>
              </w:rPr>
              <w:t>3.   Dokumentacja poddana kontroli</w:t>
            </w:r>
          </w:p>
        </w:tc>
      </w:tr>
    </w:tbl>
    <w:p w14:paraId="4B9FF0F0" w14:textId="361C431C" w:rsidR="007C25FB" w:rsidRPr="00F0151C" w:rsidRDefault="007C25FB" w:rsidP="00E20DBF">
      <w:pPr>
        <w:pStyle w:val="Tekstpodstawowy31"/>
        <w:numPr>
          <w:ilvl w:val="0"/>
          <w:numId w:val="3"/>
        </w:numPr>
        <w:ind w:left="462" w:hanging="462"/>
        <w:rPr>
          <w:i w:val="0"/>
          <w:color w:val="auto"/>
          <w:sz w:val="22"/>
          <w:szCs w:val="22"/>
          <w:lang w:val="pl-PL"/>
        </w:rPr>
      </w:pPr>
      <w:r w:rsidRPr="00F0151C">
        <w:rPr>
          <w:i w:val="0"/>
          <w:color w:val="auto"/>
          <w:sz w:val="22"/>
          <w:szCs w:val="22"/>
          <w:lang w:val="pl-PL"/>
        </w:rPr>
        <w:t xml:space="preserve">Unormowania wewnętrzne regulujące działalność </w:t>
      </w:r>
      <w:r w:rsidR="00B7355C" w:rsidRPr="00F0151C">
        <w:rPr>
          <w:i w:val="0"/>
          <w:color w:val="auto"/>
          <w:sz w:val="22"/>
          <w:szCs w:val="22"/>
          <w:lang w:val="pl-PL"/>
        </w:rPr>
        <w:t>zakładu</w:t>
      </w:r>
      <w:r w:rsidRPr="00F0151C">
        <w:rPr>
          <w:i w:val="0"/>
          <w:color w:val="auto"/>
          <w:sz w:val="22"/>
          <w:szCs w:val="22"/>
          <w:lang w:val="pl-PL"/>
        </w:rPr>
        <w:t>,</w:t>
      </w:r>
    </w:p>
    <w:p w14:paraId="3B716474" w14:textId="77777777" w:rsidR="00B7355C" w:rsidRPr="00F0151C" w:rsidRDefault="00B7355C" w:rsidP="00E20DBF">
      <w:pPr>
        <w:pStyle w:val="Tekstpodstawowy3"/>
        <w:numPr>
          <w:ilvl w:val="0"/>
          <w:numId w:val="3"/>
        </w:numPr>
        <w:ind w:left="462" w:hanging="462"/>
        <w:rPr>
          <w:i w:val="0"/>
          <w:color w:val="auto"/>
          <w:sz w:val="22"/>
          <w:szCs w:val="22"/>
          <w:lang w:val="pl-PL"/>
        </w:rPr>
      </w:pPr>
      <w:r w:rsidRPr="00F0151C">
        <w:rPr>
          <w:i w:val="0"/>
          <w:color w:val="auto"/>
          <w:sz w:val="22"/>
          <w:szCs w:val="22"/>
          <w:lang w:val="pl-PL"/>
        </w:rPr>
        <w:t>Sprawozdania Rb-30S i Rb-Z, Rb-N za okresy wskazane w protokole,</w:t>
      </w:r>
    </w:p>
    <w:p w14:paraId="177A5E80" w14:textId="01AD0CCB" w:rsidR="00B7355C" w:rsidRPr="00F0151C" w:rsidRDefault="00B7355C" w:rsidP="00E20DBF">
      <w:pPr>
        <w:pStyle w:val="Tekstpodstawowy3"/>
        <w:numPr>
          <w:ilvl w:val="0"/>
          <w:numId w:val="3"/>
        </w:numPr>
        <w:ind w:left="462" w:hanging="462"/>
        <w:rPr>
          <w:i w:val="0"/>
          <w:color w:val="auto"/>
          <w:sz w:val="22"/>
          <w:szCs w:val="22"/>
          <w:lang w:val="pl-PL"/>
        </w:rPr>
      </w:pPr>
      <w:r w:rsidRPr="00F0151C">
        <w:rPr>
          <w:i w:val="0"/>
          <w:color w:val="auto"/>
          <w:sz w:val="22"/>
          <w:szCs w:val="22"/>
          <w:lang w:val="pl-PL"/>
        </w:rPr>
        <w:t>Sprawozdanie finansowe za 20</w:t>
      </w:r>
      <w:r w:rsidR="00D744B1" w:rsidRPr="00F0151C">
        <w:rPr>
          <w:i w:val="0"/>
          <w:color w:val="auto"/>
          <w:sz w:val="22"/>
          <w:szCs w:val="22"/>
          <w:lang w:val="pl-PL"/>
        </w:rPr>
        <w:t>22</w:t>
      </w:r>
      <w:r w:rsidRPr="00F0151C">
        <w:rPr>
          <w:i w:val="0"/>
          <w:color w:val="auto"/>
          <w:sz w:val="22"/>
          <w:szCs w:val="22"/>
          <w:lang w:val="pl-PL"/>
        </w:rPr>
        <w:t xml:space="preserve"> r.,</w:t>
      </w:r>
    </w:p>
    <w:p w14:paraId="05FD477A" w14:textId="3831B860" w:rsidR="007C25FB" w:rsidRPr="00F0151C" w:rsidRDefault="007C25FB" w:rsidP="00E20DBF">
      <w:pPr>
        <w:pStyle w:val="Tekstpodstawowy3"/>
        <w:numPr>
          <w:ilvl w:val="0"/>
          <w:numId w:val="3"/>
        </w:numPr>
        <w:ind w:left="462" w:hanging="462"/>
        <w:rPr>
          <w:i w:val="0"/>
          <w:color w:val="auto"/>
          <w:sz w:val="22"/>
          <w:szCs w:val="22"/>
          <w:lang w:val="pl-PL"/>
        </w:rPr>
      </w:pPr>
      <w:r w:rsidRPr="00F0151C">
        <w:rPr>
          <w:i w:val="0"/>
          <w:color w:val="auto"/>
          <w:sz w:val="22"/>
          <w:szCs w:val="22"/>
          <w:lang w:val="pl-PL"/>
        </w:rPr>
        <w:t>Zestawienia obrotów i sald za okresy wskazane w protokole kontroli,</w:t>
      </w:r>
    </w:p>
    <w:p w14:paraId="3796039D" w14:textId="1E0BEC41" w:rsidR="00B7355C" w:rsidRPr="00F0151C" w:rsidRDefault="00B7355C" w:rsidP="00E20DBF">
      <w:pPr>
        <w:pStyle w:val="Tekstpodstawowy3"/>
        <w:numPr>
          <w:ilvl w:val="0"/>
          <w:numId w:val="3"/>
        </w:numPr>
        <w:ind w:left="462" w:hanging="462"/>
        <w:rPr>
          <w:i w:val="0"/>
          <w:color w:val="auto"/>
          <w:sz w:val="22"/>
          <w:szCs w:val="22"/>
          <w:lang w:val="pl-PL"/>
        </w:rPr>
      </w:pPr>
      <w:r w:rsidRPr="00F0151C">
        <w:rPr>
          <w:i w:val="0"/>
          <w:color w:val="auto"/>
          <w:sz w:val="22"/>
          <w:szCs w:val="22"/>
          <w:lang w:val="pl-PL"/>
        </w:rPr>
        <w:t>Wyrywkowo dokumenty źródłowe, wyciągi bankowe za 20</w:t>
      </w:r>
      <w:r w:rsidR="00D744B1" w:rsidRPr="00F0151C">
        <w:rPr>
          <w:i w:val="0"/>
          <w:color w:val="auto"/>
          <w:sz w:val="22"/>
          <w:szCs w:val="22"/>
          <w:lang w:val="pl-PL"/>
        </w:rPr>
        <w:t>22</w:t>
      </w:r>
      <w:r w:rsidRPr="00F0151C">
        <w:rPr>
          <w:i w:val="0"/>
          <w:color w:val="auto"/>
          <w:sz w:val="22"/>
          <w:szCs w:val="22"/>
          <w:lang w:val="pl-PL"/>
        </w:rPr>
        <w:t xml:space="preserve"> r.</w:t>
      </w:r>
      <w:r w:rsidR="00D744B1" w:rsidRPr="00F0151C">
        <w:rPr>
          <w:i w:val="0"/>
          <w:color w:val="auto"/>
          <w:sz w:val="22"/>
          <w:szCs w:val="22"/>
          <w:lang w:val="pl-PL"/>
        </w:rPr>
        <w:t xml:space="preserve"> oraz 2023 r.</w:t>
      </w:r>
      <w:r w:rsidRPr="00F0151C">
        <w:rPr>
          <w:i w:val="0"/>
          <w:color w:val="auto"/>
          <w:sz w:val="22"/>
          <w:szCs w:val="22"/>
          <w:lang w:val="pl-PL"/>
        </w:rPr>
        <w:t>,</w:t>
      </w:r>
    </w:p>
    <w:p w14:paraId="11157CD3" w14:textId="6BD53B63" w:rsidR="00B7355C" w:rsidRPr="00F0151C" w:rsidRDefault="00B7355C" w:rsidP="00E20DBF">
      <w:pPr>
        <w:pStyle w:val="Tekstpodstawowy3"/>
        <w:numPr>
          <w:ilvl w:val="0"/>
          <w:numId w:val="3"/>
        </w:numPr>
        <w:ind w:left="462" w:hanging="462"/>
        <w:rPr>
          <w:i w:val="0"/>
          <w:color w:val="auto"/>
          <w:sz w:val="22"/>
          <w:szCs w:val="22"/>
          <w:lang w:val="pl-PL"/>
        </w:rPr>
      </w:pPr>
      <w:r w:rsidRPr="00F0151C">
        <w:rPr>
          <w:rFonts w:eastAsia="Arial"/>
          <w:i w:val="0"/>
          <w:color w:val="auto"/>
          <w:sz w:val="22"/>
          <w:szCs w:val="22"/>
          <w:lang w:val="pl-PL"/>
        </w:rPr>
        <w:t>Dokumentacja dotycząca obrotu gotówkowego</w:t>
      </w:r>
      <w:r w:rsidR="000552E3" w:rsidRPr="00F0151C">
        <w:rPr>
          <w:rFonts w:eastAsia="Arial"/>
          <w:i w:val="0"/>
          <w:color w:val="auto"/>
          <w:sz w:val="22"/>
          <w:szCs w:val="22"/>
          <w:lang w:val="pl-PL"/>
        </w:rPr>
        <w:t xml:space="preserve"> za I kwartał 2023 r.</w:t>
      </w:r>
      <w:r w:rsidRPr="00F0151C">
        <w:rPr>
          <w:rFonts w:eastAsia="Arial"/>
          <w:i w:val="0"/>
          <w:color w:val="auto"/>
          <w:sz w:val="22"/>
          <w:szCs w:val="22"/>
          <w:lang w:val="pl-PL"/>
        </w:rPr>
        <w:t>,</w:t>
      </w:r>
    </w:p>
    <w:p w14:paraId="00625584" w14:textId="77777777" w:rsidR="00B7355C" w:rsidRPr="00F0151C" w:rsidRDefault="00B7355C" w:rsidP="00E20DBF">
      <w:pPr>
        <w:pStyle w:val="Tekstpodstawowy3"/>
        <w:numPr>
          <w:ilvl w:val="0"/>
          <w:numId w:val="3"/>
        </w:numPr>
        <w:ind w:left="462" w:hanging="462"/>
        <w:rPr>
          <w:i w:val="0"/>
          <w:color w:val="auto"/>
          <w:sz w:val="22"/>
          <w:szCs w:val="22"/>
          <w:lang w:val="pl-PL"/>
        </w:rPr>
      </w:pPr>
      <w:r w:rsidRPr="00F0151C">
        <w:rPr>
          <w:rFonts w:eastAsia="Arial"/>
          <w:i w:val="0"/>
          <w:color w:val="auto"/>
          <w:sz w:val="22"/>
          <w:szCs w:val="22"/>
          <w:lang w:val="pl-PL"/>
        </w:rPr>
        <w:t xml:space="preserve">Dokumentacja dotycząca ewidencji i </w:t>
      </w:r>
      <w:r w:rsidRPr="00F0151C">
        <w:rPr>
          <w:i w:val="0"/>
          <w:color w:val="auto"/>
          <w:sz w:val="22"/>
          <w:szCs w:val="22"/>
          <w:lang w:val="pl-PL"/>
        </w:rPr>
        <w:t xml:space="preserve">gospodarki majątkiem trwałym, </w:t>
      </w:r>
    </w:p>
    <w:p w14:paraId="57775888" w14:textId="766AF302" w:rsidR="00B7355C" w:rsidRPr="00F0151C" w:rsidRDefault="00B7355C" w:rsidP="00E20DBF">
      <w:pPr>
        <w:pStyle w:val="Tekstpodstawowy3"/>
        <w:numPr>
          <w:ilvl w:val="0"/>
          <w:numId w:val="3"/>
        </w:numPr>
        <w:tabs>
          <w:tab w:val="left" w:pos="462"/>
        </w:tabs>
        <w:ind w:left="462" w:hanging="462"/>
        <w:rPr>
          <w:i w:val="0"/>
          <w:color w:val="auto"/>
          <w:sz w:val="22"/>
          <w:szCs w:val="22"/>
          <w:lang w:val="pl-PL"/>
        </w:rPr>
      </w:pPr>
      <w:r w:rsidRPr="00F0151C">
        <w:rPr>
          <w:i w:val="0"/>
          <w:color w:val="auto"/>
          <w:sz w:val="22"/>
          <w:szCs w:val="22"/>
          <w:lang w:val="pl-PL"/>
        </w:rPr>
        <w:t>Dokumentacja z inwentaryzacji w drodze potwierdzenia sald i weryfikacji za 20</w:t>
      </w:r>
      <w:r w:rsidR="00C73A16" w:rsidRPr="00F0151C">
        <w:rPr>
          <w:i w:val="0"/>
          <w:color w:val="auto"/>
          <w:sz w:val="22"/>
          <w:szCs w:val="22"/>
          <w:lang w:val="pl-PL"/>
        </w:rPr>
        <w:t>22</w:t>
      </w:r>
      <w:r w:rsidRPr="00F0151C">
        <w:rPr>
          <w:i w:val="0"/>
          <w:color w:val="auto"/>
          <w:sz w:val="22"/>
          <w:szCs w:val="22"/>
          <w:lang w:val="pl-PL"/>
        </w:rPr>
        <w:t xml:space="preserve"> r.,</w:t>
      </w:r>
    </w:p>
    <w:p w14:paraId="188C405D" w14:textId="15D6D9F7" w:rsidR="00B7355C" w:rsidRPr="00F0151C" w:rsidRDefault="00B7355C" w:rsidP="00E20DBF">
      <w:pPr>
        <w:pStyle w:val="Tekstpodstawowy3"/>
        <w:numPr>
          <w:ilvl w:val="0"/>
          <w:numId w:val="3"/>
        </w:numPr>
        <w:tabs>
          <w:tab w:val="left" w:pos="462"/>
        </w:tabs>
        <w:ind w:left="462" w:hanging="462"/>
        <w:rPr>
          <w:i w:val="0"/>
          <w:color w:val="auto"/>
          <w:sz w:val="22"/>
          <w:szCs w:val="22"/>
          <w:lang w:val="pl-PL"/>
        </w:rPr>
      </w:pPr>
      <w:r w:rsidRPr="00F0151C">
        <w:rPr>
          <w:i w:val="0"/>
          <w:color w:val="auto"/>
          <w:sz w:val="22"/>
          <w:szCs w:val="22"/>
          <w:lang w:val="pl-PL"/>
        </w:rPr>
        <w:t>Wyrywkowo dziennik za 20</w:t>
      </w:r>
      <w:r w:rsidR="00D744B1" w:rsidRPr="00F0151C">
        <w:rPr>
          <w:i w:val="0"/>
          <w:color w:val="auto"/>
          <w:sz w:val="22"/>
          <w:szCs w:val="22"/>
          <w:lang w:val="pl-PL"/>
        </w:rPr>
        <w:t>22</w:t>
      </w:r>
      <w:r w:rsidRPr="00F0151C">
        <w:rPr>
          <w:i w:val="0"/>
          <w:color w:val="auto"/>
          <w:sz w:val="22"/>
          <w:szCs w:val="22"/>
          <w:lang w:val="pl-PL"/>
        </w:rPr>
        <w:t xml:space="preserve"> r.</w:t>
      </w:r>
      <w:r w:rsidR="00D744B1" w:rsidRPr="00F0151C">
        <w:rPr>
          <w:i w:val="0"/>
          <w:color w:val="auto"/>
          <w:sz w:val="22"/>
          <w:szCs w:val="22"/>
          <w:lang w:val="pl-PL"/>
        </w:rPr>
        <w:t xml:space="preserve"> oraz 2023 r.</w:t>
      </w:r>
      <w:r w:rsidRPr="00F0151C">
        <w:rPr>
          <w:i w:val="0"/>
          <w:color w:val="auto"/>
          <w:sz w:val="22"/>
          <w:szCs w:val="22"/>
          <w:lang w:val="pl-PL"/>
        </w:rPr>
        <w:t>,</w:t>
      </w:r>
    </w:p>
    <w:p w14:paraId="578DE150" w14:textId="0243E938" w:rsidR="00B7355C" w:rsidRPr="00F0151C" w:rsidRDefault="00B7355C" w:rsidP="00E20DBF">
      <w:pPr>
        <w:pStyle w:val="Tekstpodstawowy3"/>
        <w:numPr>
          <w:ilvl w:val="0"/>
          <w:numId w:val="3"/>
        </w:numPr>
        <w:tabs>
          <w:tab w:val="left" w:pos="476"/>
        </w:tabs>
        <w:ind w:left="462" w:hanging="462"/>
        <w:rPr>
          <w:i w:val="0"/>
          <w:color w:val="auto"/>
          <w:sz w:val="22"/>
          <w:szCs w:val="22"/>
          <w:lang w:val="pl-PL"/>
        </w:rPr>
      </w:pPr>
      <w:r w:rsidRPr="00F0151C">
        <w:rPr>
          <w:i w:val="0"/>
          <w:color w:val="auto"/>
          <w:sz w:val="22"/>
          <w:szCs w:val="22"/>
          <w:lang w:val="pl-PL"/>
        </w:rPr>
        <w:t>Dokumenty dotyczące wyliczeni</w:t>
      </w:r>
      <w:r w:rsidR="00345A8D" w:rsidRPr="00F0151C">
        <w:rPr>
          <w:i w:val="0"/>
          <w:color w:val="auto"/>
          <w:sz w:val="22"/>
          <w:szCs w:val="22"/>
          <w:lang w:val="pl-PL"/>
        </w:rPr>
        <w:t>a</w:t>
      </w:r>
      <w:r w:rsidRPr="00F0151C">
        <w:rPr>
          <w:i w:val="0"/>
          <w:color w:val="auto"/>
          <w:sz w:val="22"/>
          <w:szCs w:val="22"/>
          <w:lang w:val="pl-PL"/>
        </w:rPr>
        <w:t xml:space="preserve"> odpisu na Zakładowy Fundusz Świadczeń Socjalnych oraz przyznanych w 20</w:t>
      </w:r>
      <w:r w:rsidR="00C73A16" w:rsidRPr="00F0151C">
        <w:rPr>
          <w:i w:val="0"/>
          <w:color w:val="auto"/>
          <w:sz w:val="22"/>
          <w:szCs w:val="22"/>
          <w:lang w:val="pl-PL"/>
        </w:rPr>
        <w:t>22</w:t>
      </w:r>
      <w:r w:rsidRPr="00F0151C">
        <w:rPr>
          <w:i w:val="0"/>
          <w:color w:val="auto"/>
          <w:sz w:val="22"/>
          <w:szCs w:val="22"/>
          <w:lang w:val="pl-PL"/>
        </w:rPr>
        <w:t xml:space="preserve"> r. świadczeń,</w:t>
      </w:r>
    </w:p>
    <w:p w14:paraId="1BC7F74B" w14:textId="6AE13E36" w:rsidR="00B7355C" w:rsidRPr="00F0151C" w:rsidRDefault="00B7355C" w:rsidP="00E20DBF">
      <w:pPr>
        <w:pStyle w:val="Tekstpodstawowy3"/>
        <w:numPr>
          <w:ilvl w:val="0"/>
          <w:numId w:val="3"/>
        </w:numPr>
        <w:tabs>
          <w:tab w:val="left" w:pos="462"/>
        </w:tabs>
        <w:ind w:left="462" w:hanging="462"/>
        <w:rPr>
          <w:i w:val="0"/>
          <w:color w:val="auto"/>
          <w:sz w:val="22"/>
          <w:szCs w:val="22"/>
          <w:lang w:val="pl-PL"/>
        </w:rPr>
      </w:pPr>
      <w:r w:rsidRPr="00F0151C">
        <w:rPr>
          <w:i w:val="0"/>
          <w:color w:val="auto"/>
          <w:sz w:val="22"/>
          <w:szCs w:val="22"/>
          <w:lang w:val="pl-PL"/>
        </w:rPr>
        <w:t>Wybrane akta najemców wraz z wykazami należności i wpłat,</w:t>
      </w:r>
    </w:p>
    <w:p w14:paraId="54B35778" w14:textId="37DEC81E" w:rsidR="007C25FB" w:rsidRPr="00F0151C" w:rsidRDefault="007C25FB" w:rsidP="00E20DBF">
      <w:pPr>
        <w:pStyle w:val="Tekstpodstawowy3"/>
        <w:numPr>
          <w:ilvl w:val="0"/>
          <w:numId w:val="3"/>
        </w:numPr>
        <w:ind w:left="462" w:hanging="462"/>
        <w:rPr>
          <w:i w:val="0"/>
          <w:color w:val="auto"/>
          <w:spacing w:val="-2"/>
          <w:sz w:val="22"/>
          <w:szCs w:val="22"/>
          <w:lang w:val="pl-PL"/>
        </w:rPr>
      </w:pPr>
      <w:r w:rsidRPr="00F0151C">
        <w:rPr>
          <w:i w:val="0"/>
          <w:color w:val="auto"/>
          <w:spacing w:val="-2"/>
          <w:sz w:val="22"/>
          <w:szCs w:val="22"/>
          <w:lang w:val="pl-PL"/>
        </w:rPr>
        <w:lastRenderedPageBreak/>
        <w:t>Kartoteki wynagrodzeń i akta osobowe pracowników, którzy otrzymali nagrody jubileuszowe, odprawy emerytalne oraz ekwiwalenty za niewykorzystany urlop</w:t>
      </w:r>
      <w:r w:rsidR="00902ED3" w:rsidRPr="00F0151C">
        <w:rPr>
          <w:i w:val="0"/>
          <w:color w:val="auto"/>
          <w:spacing w:val="-2"/>
          <w:sz w:val="22"/>
          <w:szCs w:val="22"/>
          <w:lang w:val="pl-PL"/>
        </w:rPr>
        <w:t xml:space="preserve"> </w:t>
      </w:r>
      <w:r w:rsidR="000772A1" w:rsidRPr="00F0151C">
        <w:rPr>
          <w:i w:val="0"/>
          <w:color w:val="auto"/>
          <w:spacing w:val="-2"/>
          <w:sz w:val="22"/>
          <w:szCs w:val="22"/>
          <w:lang w:val="pl-PL"/>
        </w:rPr>
        <w:t xml:space="preserve">w </w:t>
      </w:r>
      <w:r w:rsidRPr="00F0151C">
        <w:rPr>
          <w:i w:val="0"/>
          <w:color w:val="auto"/>
          <w:spacing w:val="-2"/>
          <w:sz w:val="22"/>
          <w:szCs w:val="22"/>
          <w:lang w:val="pl-PL"/>
        </w:rPr>
        <w:t>202</w:t>
      </w:r>
      <w:r w:rsidR="0046457B" w:rsidRPr="00F0151C">
        <w:rPr>
          <w:i w:val="0"/>
          <w:color w:val="auto"/>
          <w:spacing w:val="-2"/>
          <w:sz w:val="22"/>
          <w:szCs w:val="22"/>
          <w:lang w:val="pl-PL"/>
        </w:rPr>
        <w:t>2</w:t>
      </w:r>
      <w:r w:rsidRPr="00F0151C">
        <w:rPr>
          <w:i w:val="0"/>
          <w:color w:val="auto"/>
          <w:spacing w:val="-2"/>
          <w:sz w:val="22"/>
          <w:szCs w:val="22"/>
          <w:lang w:val="pl-PL"/>
        </w:rPr>
        <w:t xml:space="preserve"> r.,</w:t>
      </w:r>
    </w:p>
    <w:p w14:paraId="5B189710" w14:textId="77777777" w:rsidR="007C25FB" w:rsidRPr="00F0151C" w:rsidRDefault="007C25FB" w:rsidP="00E20DBF">
      <w:pPr>
        <w:pStyle w:val="Tekstpodstawowy3"/>
        <w:numPr>
          <w:ilvl w:val="0"/>
          <w:numId w:val="3"/>
        </w:numPr>
        <w:ind w:left="462" w:hanging="462"/>
        <w:rPr>
          <w:i w:val="0"/>
          <w:color w:val="auto"/>
          <w:sz w:val="22"/>
          <w:szCs w:val="22"/>
          <w:lang w:val="pl-PL"/>
        </w:rPr>
      </w:pPr>
      <w:r w:rsidRPr="00F0151C">
        <w:rPr>
          <w:i w:val="0"/>
          <w:color w:val="auto"/>
          <w:sz w:val="22"/>
          <w:szCs w:val="22"/>
          <w:lang w:val="pl-PL"/>
        </w:rPr>
        <w:t>Dokumentacja związana z udzielonymi zamówieniami publicznymi,</w:t>
      </w:r>
    </w:p>
    <w:p w14:paraId="5968243E" w14:textId="663867B3" w:rsidR="007C25FB" w:rsidRPr="00F0151C" w:rsidRDefault="007C25FB" w:rsidP="00E20DBF">
      <w:pPr>
        <w:pStyle w:val="Tekstpodstawowy3"/>
        <w:numPr>
          <w:ilvl w:val="0"/>
          <w:numId w:val="3"/>
        </w:numPr>
        <w:ind w:left="462" w:hanging="462"/>
        <w:rPr>
          <w:i w:val="0"/>
          <w:color w:val="auto"/>
          <w:sz w:val="22"/>
          <w:szCs w:val="22"/>
          <w:lang w:val="pl-PL"/>
        </w:rPr>
      </w:pPr>
      <w:r w:rsidRPr="00F0151C">
        <w:rPr>
          <w:i w:val="0"/>
          <w:color w:val="auto"/>
          <w:spacing w:val="-2"/>
          <w:sz w:val="22"/>
          <w:szCs w:val="22"/>
          <w:lang w:val="pl-PL"/>
        </w:rPr>
        <w:t>Dokumentacja związana z ustaleniem odpisu na ZFŚS i gospodarowaniem środkami ZFŚS w 202</w:t>
      </w:r>
      <w:r w:rsidR="00CA0068" w:rsidRPr="00F0151C">
        <w:rPr>
          <w:i w:val="0"/>
          <w:color w:val="auto"/>
          <w:spacing w:val="-2"/>
          <w:sz w:val="22"/>
          <w:szCs w:val="22"/>
          <w:lang w:val="pl-PL"/>
        </w:rPr>
        <w:t>2</w:t>
      </w:r>
      <w:r w:rsidRPr="00F0151C">
        <w:rPr>
          <w:i w:val="0"/>
          <w:color w:val="auto"/>
          <w:spacing w:val="-2"/>
          <w:sz w:val="22"/>
          <w:szCs w:val="22"/>
          <w:lang w:val="pl-PL"/>
        </w:rPr>
        <w:t xml:space="preserve"> r.,</w:t>
      </w:r>
    </w:p>
    <w:p w14:paraId="3C1C84D4" w14:textId="24813DB5" w:rsidR="0057072D" w:rsidRPr="00F0151C" w:rsidRDefault="007C25FB" w:rsidP="00E20DBF">
      <w:pPr>
        <w:pStyle w:val="Tekstpodstawowy3"/>
        <w:numPr>
          <w:ilvl w:val="0"/>
          <w:numId w:val="3"/>
        </w:numPr>
        <w:ind w:left="462" w:hanging="462"/>
        <w:rPr>
          <w:i w:val="0"/>
          <w:color w:val="auto"/>
          <w:sz w:val="22"/>
          <w:szCs w:val="22"/>
          <w:lang w:val="pl-PL"/>
        </w:rPr>
      </w:pPr>
      <w:r w:rsidRPr="00F0151C">
        <w:rPr>
          <w:i w:val="0"/>
          <w:color w:val="auto"/>
          <w:sz w:val="22"/>
          <w:szCs w:val="22"/>
          <w:lang w:val="pl-PL"/>
        </w:rPr>
        <w:t>Dokumentacja dotycząca realizacji postanowień zarządzenia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w:t>
      </w:r>
    </w:p>
    <w:p w14:paraId="5BD552D1" w14:textId="77777777" w:rsidR="007C25FB" w:rsidRPr="00F0151C" w:rsidRDefault="007C25FB" w:rsidP="003D312B">
      <w:pPr>
        <w:pStyle w:val="Tekstpodstawowy3"/>
        <w:tabs>
          <w:tab w:val="left" w:pos="476"/>
        </w:tabs>
        <w:ind w:left="462"/>
        <w:rPr>
          <w:i w:val="0"/>
          <w:color w:val="auto"/>
          <w:sz w:val="10"/>
          <w:szCs w:val="10"/>
          <w:lang w:val="pl-PL"/>
        </w:rPr>
      </w:pPr>
    </w:p>
    <w:tbl>
      <w:tblPr>
        <w:tblW w:w="9211" w:type="dxa"/>
        <w:tblCellMar>
          <w:left w:w="70" w:type="dxa"/>
          <w:right w:w="70" w:type="dxa"/>
        </w:tblCellMar>
        <w:tblLook w:val="0000" w:firstRow="0" w:lastRow="0" w:firstColumn="0" w:lastColumn="0" w:noHBand="0" w:noVBand="0"/>
      </w:tblPr>
      <w:tblGrid>
        <w:gridCol w:w="9211"/>
      </w:tblGrid>
      <w:tr w:rsidR="00F0151C" w:rsidRPr="00F0151C" w14:paraId="4DF2B9A2" w14:textId="77777777" w:rsidTr="004C5705">
        <w:trPr>
          <w:cantSplit/>
        </w:trPr>
        <w:tc>
          <w:tcPr>
            <w:tcW w:w="9211" w:type="dxa"/>
            <w:shd w:val="clear" w:color="auto" w:fill="D9D9D9"/>
            <w:vAlign w:val="bottom"/>
          </w:tcPr>
          <w:p w14:paraId="21D6F145" w14:textId="791E97D5" w:rsidR="007C25FB" w:rsidRPr="00F0151C" w:rsidRDefault="007C25FB" w:rsidP="003D312B">
            <w:pPr>
              <w:pStyle w:val="Domylnie"/>
              <w:tabs>
                <w:tab w:val="left" w:pos="-4395"/>
              </w:tabs>
              <w:rPr>
                <w:rFonts w:ascii="Arial" w:hAnsi="Arial" w:cs="Arial"/>
                <w:b/>
                <w:bCs/>
                <w:color w:val="auto"/>
                <w:sz w:val="22"/>
                <w:szCs w:val="22"/>
                <w:lang w:val="pl-PL"/>
              </w:rPr>
            </w:pPr>
            <w:bookmarkStart w:id="1" w:name="_Hlk109287677"/>
            <w:r w:rsidRPr="00F0151C">
              <w:rPr>
                <w:rFonts w:ascii="Arial" w:hAnsi="Arial" w:cs="Arial"/>
                <w:b/>
                <w:bCs/>
                <w:color w:val="auto"/>
                <w:sz w:val="22"/>
                <w:szCs w:val="22"/>
                <w:lang w:val="pl-PL"/>
              </w:rPr>
              <w:t>4.   Ustalenia kontroli</w:t>
            </w:r>
          </w:p>
        </w:tc>
      </w:tr>
    </w:tbl>
    <w:bookmarkEnd w:id="1"/>
    <w:p w14:paraId="73C86652" w14:textId="77777777" w:rsidR="007C25FB" w:rsidRPr="00F0151C" w:rsidRDefault="007C25FB" w:rsidP="00E96D9E">
      <w:pPr>
        <w:pStyle w:val="Akapitzlist1"/>
        <w:numPr>
          <w:ilvl w:val="1"/>
          <w:numId w:val="1"/>
        </w:numPr>
        <w:tabs>
          <w:tab w:val="left" w:pos="426"/>
        </w:tabs>
        <w:ind w:left="0" w:firstLine="0"/>
        <w:rPr>
          <w:rFonts w:ascii="Arial" w:hAnsi="Arial" w:cs="Arial"/>
          <w:b/>
          <w:bCs/>
          <w:color w:val="auto"/>
          <w:sz w:val="22"/>
          <w:szCs w:val="22"/>
          <w:lang w:val="pl-PL"/>
        </w:rPr>
      </w:pPr>
      <w:r w:rsidRPr="00F0151C">
        <w:rPr>
          <w:rFonts w:ascii="Arial" w:hAnsi="Arial" w:cs="Arial"/>
          <w:b/>
          <w:bCs/>
          <w:color w:val="auto"/>
          <w:sz w:val="22"/>
          <w:szCs w:val="22"/>
          <w:lang w:val="pl-PL"/>
        </w:rPr>
        <w:t>Księgowość i sprawozdawczość jednostki</w:t>
      </w:r>
    </w:p>
    <w:p w14:paraId="543A2A0B" w14:textId="77777777" w:rsidR="0057072D" w:rsidRPr="00F0151C" w:rsidRDefault="0057072D" w:rsidP="0057072D">
      <w:pPr>
        <w:pStyle w:val="Domylnie"/>
        <w:ind w:firstLine="360"/>
        <w:rPr>
          <w:rFonts w:ascii="Arial" w:hAnsi="Arial" w:cs="Arial"/>
          <w:color w:val="auto"/>
          <w:sz w:val="22"/>
          <w:szCs w:val="22"/>
          <w:lang w:val="pl-PL"/>
        </w:rPr>
      </w:pPr>
      <w:r w:rsidRPr="00F0151C">
        <w:rPr>
          <w:rFonts w:ascii="Arial" w:hAnsi="Arial" w:cs="Arial"/>
          <w:color w:val="auto"/>
          <w:sz w:val="22"/>
          <w:szCs w:val="22"/>
          <w:lang w:val="pl-PL"/>
        </w:rPr>
        <w:t>Uregulowania wewnętrzne jednostki Dyrektor Miejskiego Zarządu Budynków Mieszkalnych w Tychach wprowadził następującymi zarządzeniami:</w:t>
      </w:r>
    </w:p>
    <w:p w14:paraId="566BBF83" w14:textId="64BF5CD3" w:rsidR="0057072D" w:rsidRPr="00F0151C" w:rsidRDefault="0057072D" w:rsidP="00D71B1B">
      <w:pPr>
        <w:pStyle w:val="Akapitzlist1"/>
        <w:numPr>
          <w:ilvl w:val="0"/>
          <w:numId w:val="7"/>
        </w:numPr>
        <w:tabs>
          <w:tab w:val="left" w:pos="-1134"/>
        </w:tabs>
        <w:rPr>
          <w:rFonts w:ascii="Arial" w:hAnsi="Arial" w:cs="Arial"/>
          <w:color w:val="auto"/>
          <w:sz w:val="22"/>
          <w:szCs w:val="22"/>
          <w:lang w:val="pl-PL"/>
        </w:rPr>
      </w:pPr>
      <w:r w:rsidRPr="00F0151C">
        <w:rPr>
          <w:rFonts w:ascii="Arial" w:hAnsi="Arial" w:cs="Arial"/>
          <w:color w:val="auto"/>
          <w:sz w:val="22"/>
          <w:szCs w:val="22"/>
          <w:lang w:val="pl-PL"/>
        </w:rPr>
        <w:t xml:space="preserve">Zarządzenie nr </w:t>
      </w:r>
      <w:r w:rsidR="000C73AD" w:rsidRPr="00F0151C">
        <w:rPr>
          <w:rFonts w:ascii="Arial" w:hAnsi="Arial" w:cs="Arial"/>
          <w:color w:val="auto"/>
          <w:sz w:val="22"/>
          <w:szCs w:val="22"/>
          <w:lang w:val="pl-PL"/>
        </w:rPr>
        <w:t xml:space="preserve">0152/164/08/2018 </w:t>
      </w:r>
      <w:r w:rsidRPr="00F0151C">
        <w:rPr>
          <w:rFonts w:ascii="Arial" w:hAnsi="Arial" w:cs="Arial"/>
          <w:color w:val="auto"/>
          <w:sz w:val="22"/>
          <w:szCs w:val="22"/>
          <w:lang w:val="pl-PL"/>
        </w:rPr>
        <w:t>z dnia</w:t>
      </w:r>
      <w:r w:rsidR="000C73AD" w:rsidRPr="00F0151C">
        <w:rPr>
          <w:rFonts w:ascii="Arial" w:hAnsi="Arial" w:cs="Arial"/>
          <w:color w:val="auto"/>
          <w:sz w:val="22"/>
          <w:szCs w:val="22"/>
          <w:lang w:val="pl-PL"/>
        </w:rPr>
        <w:t xml:space="preserve"> 23.08.2018</w:t>
      </w:r>
      <w:r w:rsidRPr="00F0151C">
        <w:rPr>
          <w:rFonts w:ascii="Arial" w:hAnsi="Arial" w:cs="Arial"/>
          <w:color w:val="auto"/>
          <w:sz w:val="22"/>
          <w:szCs w:val="22"/>
          <w:lang w:val="pl-PL"/>
        </w:rPr>
        <w:t xml:space="preserve"> r. w sprawie wprowadzenia w życie Instrukcji </w:t>
      </w:r>
      <w:r w:rsidR="000C73AD" w:rsidRPr="00F0151C">
        <w:rPr>
          <w:rFonts w:ascii="Arial" w:hAnsi="Arial" w:cs="Arial"/>
          <w:color w:val="auto"/>
          <w:sz w:val="22"/>
          <w:szCs w:val="22"/>
          <w:lang w:val="pl-PL"/>
        </w:rPr>
        <w:t>gospodarki</w:t>
      </w:r>
      <w:r w:rsidRPr="00F0151C">
        <w:rPr>
          <w:rFonts w:ascii="Arial" w:hAnsi="Arial" w:cs="Arial"/>
          <w:color w:val="auto"/>
          <w:sz w:val="22"/>
          <w:szCs w:val="22"/>
          <w:lang w:val="pl-PL"/>
        </w:rPr>
        <w:t xml:space="preserve"> druk</w:t>
      </w:r>
      <w:r w:rsidR="000C73AD" w:rsidRPr="00F0151C">
        <w:rPr>
          <w:rFonts w:ascii="Arial" w:hAnsi="Arial" w:cs="Arial"/>
          <w:color w:val="auto"/>
          <w:sz w:val="22"/>
          <w:szCs w:val="22"/>
          <w:lang w:val="pl-PL"/>
        </w:rPr>
        <w:t>ami</w:t>
      </w:r>
      <w:r w:rsidRPr="00F0151C">
        <w:rPr>
          <w:rFonts w:ascii="Arial" w:hAnsi="Arial" w:cs="Arial"/>
          <w:color w:val="auto"/>
          <w:sz w:val="22"/>
          <w:szCs w:val="22"/>
          <w:lang w:val="pl-PL"/>
        </w:rPr>
        <w:t xml:space="preserve"> ścisłego zarachowania w Miejskim Zarządzie Budynków Mieszkalnych Zakład Budżetowy w Tychach,</w:t>
      </w:r>
    </w:p>
    <w:p w14:paraId="4A89978A" w14:textId="32B79171" w:rsidR="00CB3EE1" w:rsidRPr="00F0151C" w:rsidRDefault="00CB3EE1" w:rsidP="00D71B1B">
      <w:pPr>
        <w:pStyle w:val="Akapitzlist"/>
        <w:numPr>
          <w:ilvl w:val="0"/>
          <w:numId w:val="7"/>
        </w:numPr>
        <w:rPr>
          <w:rFonts w:ascii="Arial" w:hAnsi="Arial" w:cs="Arial"/>
          <w:color w:val="auto"/>
          <w:sz w:val="22"/>
          <w:szCs w:val="22"/>
          <w:lang w:val="pl-PL" w:eastAsia="ar-SA"/>
        </w:rPr>
      </w:pPr>
      <w:r w:rsidRPr="00F0151C">
        <w:rPr>
          <w:rFonts w:ascii="Arial" w:hAnsi="Arial" w:cs="Arial"/>
          <w:color w:val="auto"/>
          <w:sz w:val="22"/>
          <w:szCs w:val="22"/>
          <w:lang w:val="pl-PL" w:eastAsia="ar-SA"/>
        </w:rPr>
        <w:t>Zarządzenie nr 0152/337/12/2022 z dnia 30.12.2022 r. w sprawie wprowadzenia w życie Instrukcji dotyczącej zasad przeprowadzania i rozliczania inwentaryzacji w Miejskim Zarządzie Budynków Mieszkalnych w Tychach,</w:t>
      </w:r>
    </w:p>
    <w:p w14:paraId="6747802B" w14:textId="7843FC3F" w:rsidR="00CB3EE1" w:rsidRPr="00F0151C" w:rsidRDefault="00CB3EE1" w:rsidP="00D71B1B">
      <w:pPr>
        <w:pStyle w:val="Akapitzlist1"/>
        <w:numPr>
          <w:ilvl w:val="0"/>
          <w:numId w:val="7"/>
        </w:numPr>
        <w:tabs>
          <w:tab w:val="left" w:pos="-1134"/>
        </w:tabs>
        <w:rPr>
          <w:rFonts w:ascii="Arial" w:hAnsi="Arial" w:cs="Arial"/>
          <w:color w:val="auto"/>
          <w:spacing w:val="-2"/>
          <w:sz w:val="22"/>
          <w:szCs w:val="22"/>
          <w:lang w:val="pl-PL"/>
        </w:rPr>
      </w:pPr>
      <w:r w:rsidRPr="00F0151C">
        <w:rPr>
          <w:rFonts w:ascii="Arial" w:hAnsi="Arial" w:cs="Arial"/>
          <w:color w:val="auto"/>
          <w:spacing w:val="-2"/>
          <w:sz w:val="22"/>
          <w:szCs w:val="22"/>
          <w:lang w:val="pl-PL"/>
        </w:rPr>
        <w:t>Zarządzenie nr 0152/336/12/2022 z dnia 30.12.2022 r. w sprawie wprowadzenia w życie Instrukcji gospodarki kasowej w Miejskim Zarządzie Budynków Mieszkalnych w Tychach,</w:t>
      </w:r>
    </w:p>
    <w:p w14:paraId="1ADB7EA6" w14:textId="6FE87998" w:rsidR="0057072D" w:rsidRPr="00F0151C" w:rsidRDefault="0057072D" w:rsidP="00D71B1B">
      <w:pPr>
        <w:pStyle w:val="Akapitzlist1"/>
        <w:numPr>
          <w:ilvl w:val="0"/>
          <w:numId w:val="7"/>
        </w:numPr>
        <w:tabs>
          <w:tab w:val="left" w:pos="-1134"/>
        </w:tabs>
        <w:rPr>
          <w:rFonts w:ascii="Arial" w:hAnsi="Arial" w:cs="Arial"/>
          <w:color w:val="auto"/>
          <w:sz w:val="22"/>
          <w:szCs w:val="22"/>
          <w:lang w:val="pl-PL"/>
        </w:rPr>
      </w:pPr>
      <w:r w:rsidRPr="00F0151C">
        <w:rPr>
          <w:rFonts w:ascii="Arial" w:hAnsi="Arial" w:cs="Arial"/>
          <w:color w:val="auto"/>
          <w:sz w:val="22"/>
          <w:szCs w:val="22"/>
          <w:lang w:val="pl-PL"/>
        </w:rPr>
        <w:t xml:space="preserve">Zarządzenie nr 0152/50A/05/14 z dnia 30.05.2014 r. w sprawie wprowadzenia w życie Instrukcji obiegu dokumentów dla Miejskiego Zarządu Budynków Mieszkalnych w Tychach wraz z </w:t>
      </w:r>
      <w:r w:rsidR="0062213F" w:rsidRPr="00F0151C">
        <w:rPr>
          <w:rFonts w:ascii="Arial" w:hAnsi="Arial" w:cs="Arial"/>
          <w:color w:val="auto"/>
          <w:sz w:val="22"/>
          <w:szCs w:val="22"/>
          <w:lang w:val="pl-PL"/>
        </w:rPr>
        <w:t>a</w:t>
      </w:r>
      <w:r w:rsidRPr="00F0151C">
        <w:rPr>
          <w:rFonts w:ascii="Arial" w:hAnsi="Arial" w:cs="Arial"/>
          <w:color w:val="auto"/>
          <w:sz w:val="22"/>
          <w:szCs w:val="22"/>
          <w:lang w:val="pl-PL"/>
        </w:rPr>
        <w:t>neksami</w:t>
      </w:r>
      <w:r w:rsidR="0062213F" w:rsidRPr="00F0151C">
        <w:rPr>
          <w:rFonts w:ascii="Arial" w:hAnsi="Arial" w:cs="Arial"/>
          <w:color w:val="auto"/>
          <w:sz w:val="22"/>
          <w:szCs w:val="22"/>
          <w:lang w:val="pl-PL"/>
        </w:rPr>
        <w:t>.</w:t>
      </w:r>
    </w:p>
    <w:p w14:paraId="450C0725" w14:textId="0396A59E" w:rsidR="00E20DBF" w:rsidRPr="00F0151C" w:rsidRDefault="00E20DBF" w:rsidP="00D71B1B">
      <w:pPr>
        <w:pStyle w:val="Akapitzlist1"/>
        <w:numPr>
          <w:ilvl w:val="0"/>
          <w:numId w:val="7"/>
        </w:numPr>
        <w:tabs>
          <w:tab w:val="left" w:pos="-1134"/>
        </w:tabs>
        <w:rPr>
          <w:rFonts w:ascii="Arial" w:hAnsi="Arial" w:cs="Arial"/>
          <w:color w:val="auto"/>
          <w:sz w:val="22"/>
          <w:szCs w:val="22"/>
          <w:lang w:val="pl-PL"/>
        </w:rPr>
      </w:pPr>
      <w:r w:rsidRPr="00F0151C">
        <w:rPr>
          <w:rFonts w:ascii="Arial" w:hAnsi="Arial" w:cs="Arial"/>
          <w:color w:val="auto"/>
          <w:sz w:val="22"/>
          <w:szCs w:val="22"/>
          <w:lang w:val="pl-PL"/>
        </w:rPr>
        <w:t>Zarządzenie nr 0152/104/05/2016 z dnia 23.05.2016 r. w sprawie wprowadzenia w życie Regulaminu Pracy Miejskiego Zarządu Budynków Mieszkalnych w Tychach wraz z aneksami.</w:t>
      </w:r>
    </w:p>
    <w:p w14:paraId="244781A2" w14:textId="30AEE358" w:rsidR="00E20DBF" w:rsidRPr="00F0151C" w:rsidRDefault="00E20DBF" w:rsidP="00D71B1B">
      <w:pPr>
        <w:pStyle w:val="Akapitzlist1"/>
        <w:numPr>
          <w:ilvl w:val="0"/>
          <w:numId w:val="7"/>
        </w:numPr>
        <w:tabs>
          <w:tab w:val="left" w:pos="-1134"/>
        </w:tabs>
        <w:rPr>
          <w:rFonts w:ascii="Arial" w:hAnsi="Arial" w:cs="Arial"/>
          <w:color w:val="auto"/>
          <w:sz w:val="22"/>
          <w:szCs w:val="22"/>
          <w:lang w:val="pl-PL"/>
        </w:rPr>
      </w:pPr>
      <w:r w:rsidRPr="00F0151C">
        <w:rPr>
          <w:rFonts w:ascii="Arial" w:hAnsi="Arial" w:cs="Arial"/>
          <w:color w:val="auto"/>
          <w:sz w:val="22"/>
          <w:szCs w:val="22"/>
          <w:lang w:val="pl-PL"/>
        </w:rPr>
        <w:t>Zarządzenie nr 0152/111/06/2019 z dnia 6.06.2019 r. w sprawie wprowadzenia w życie Regulaminu Wynagradzania Pracowników Miejskiego Zarządu Budynków Mieszkalnych w Tychach wraz z aneksami.</w:t>
      </w:r>
    </w:p>
    <w:p w14:paraId="719653B5" w14:textId="29B0F193" w:rsidR="0057072D" w:rsidRPr="00F0151C" w:rsidRDefault="0057072D" w:rsidP="00D71B1B">
      <w:pPr>
        <w:pStyle w:val="Akapitzlist1"/>
        <w:numPr>
          <w:ilvl w:val="0"/>
          <w:numId w:val="7"/>
        </w:numPr>
        <w:tabs>
          <w:tab w:val="left" w:pos="-1134"/>
        </w:tabs>
        <w:rPr>
          <w:rFonts w:ascii="Arial" w:hAnsi="Arial" w:cs="Arial"/>
          <w:color w:val="auto"/>
          <w:sz w:val="22"/>
          <w:szCs w:val="22"/>
          <w:lang w:val="pl-PL"/>
        </w:rPr>
      </w:pPr>
      <w:r w:rsidRPr="00F0151C">
        <w:rPr>
          <w:rFonts w:ascii="Arial" w:hAnsi="Arial" w:cs="Arial"/>
          <w:color w:val="auto"/>
          <w:sz w:val="22"/>
          <w:szCs w:val="22"/>
          <w:lang w:val="pl-PL"/>
        </w:rPr>
        <w:t>Zarządzenie nr 0152/</w:t>
      </w:r>
      <w:r w:rsidR="000C73AD" w:rsidRPr="00F0151C">
        <w:rPr>
          <w:rFonts w:ascii="Arial" w:hAnsi="Arial" w:cs="Arial"/>
          <w:color w:val="auto"/>
          <w:sz w:val="22"/>
          <w:szCs w:val="22"/>
          <w:lang w:val="pl-PL"/>
        </w:rPr>
        <w:t>43</w:t>
      </w:r>
      <w:r w:rsidRPr="00F0151C">
        <w:rPr>
          <w:rFonts w:ascii="Arial" w:hAnsi="Arial" w:cs="Arial"/>
          <w:color w:val="auto"/>
          <w:sz w:val="22"/>
          <w:szCs w:val="22"/>
          <w:lang w:val="pl-PL"/>
        </w:rPr>
        <w:t>/0</w:t>
      </w:r>
      <w:r w:rsidR="000C73AD" w:rsidRPr="00F0151C">
        <w:rPr>
          <w:rFonts w:ascii="Arial" w:hAnsi="Arial" w:cs="Arial"/>
          <w:color w:val="auto"/>
          <w:sz w:val="22"/>
          <w:szCs w:val="22"/>
          <w:lang w:val="pl-PL"/>
        </w:rPr>
        <w:t>3</w:t>
      </w:r>
      <w:r w:rsidRPr="00F0151C">
        <w:rPr>
          <w:rFonts w:ascii="Arial" w:hAnsi="Arial" w:cs="Arial"/>
          <w:color w:val="auto"/>
          <w:sz w:val="22"/>
          <w:szCs w:val="22"/>
          <w:lang w:val="pl-PL"/>
        </w:rPr>
        <w:t>/20</w:t>
      </w:r>
      <w:r w:rsidR="000C73AD" w:rsidRPr="00F0151C">
        <w:rPr>
          <w:rFonts w:ascii="Arial" w:hAnsi="Arial" w:cs="Arial"/>
          <w:color w:val="auto"/>
          <w:sz w:val="22"/>
          <w:szCs w:val="22"/>
          <w:lang w:val="pl-PL"/>
        </w:rPr>
        <w:t>21</w:t>
      </w:r>
      <w:r w:rsidRPr="00F0151C">
        <w:rPr>
          <w:rFonts w:ascii="Arial" w:hAnsi="Arial" w:cs="Arial"/>
          <w:color w:val="auto"/>
          <w:sz w:val="22"/>
          <w:szCs w:val="22"/>
          <w:lang w:val="pl-PL"/>
        </w:rPr>
        <w:t xml:space="preserve"> z dnia 1</w:t>
      </w:r>
      <w:r w:rsidR="000C73AD" w:rsidRPr="00F0151C">
        <w:rPr>
          <w:rFonts w:ascii="Arial" w:hAnsi="Arial" w:cs="Arial"/>
          <w:color w:val="auto"/>
          <w:sz w:val="22"/>
          <w:szCs w:val="22"/>
          <w:lang w:val="pl-PL"/>
        </w:rPr>
        <w:t>5</w:t>
      </w:r>
      <w:r w:rsidRPr="00F0151C">
        <w:rPr>
          <w:rFonts w:ascii="Arial" w:hAnsi="Arial" w:cs="Arial"/>
          <w:color w:val="auto"/>
          <w:sz w:val="22"/>
          <w:szCs w:val="22"/>
          <w:lang w:val="pl-PL"/>
        </w:rPr>
        <w:t>.0</w:t>
      </w:r>
      <w:r w:rsidR="000C73AD" w:rsidRPr="00F0151C">
        <w:rPr>
          <w:rFonts w:ascii="Arial" w:hAnsi="Arial" w:cs="Arial"/>
          <w:color w:val="auto"/>
          <w:sz w:val="22"/>
          <w:szCs w:val="22"/>
          <w:lang w:val="pl-PL"/>
        </w:rPr>
        <w:t>3</w:t>
      </w:r>
      <w:r w:rsidRPr="00F0151C">
        <w:rPr>
          <w:rFonts w:ascii="Arial" w:hAnsi="Arial" w:cs="Arial"/>
          <w:color w:val="auto"/>
          <w:sz w:val="22"/>
          <w:szCs w:val="22"/>
          <w:lang w:val="pl-PL"/>
        </w:rPr>
        <w:t>.20</w:t>
      </w:r>
      <w:r w:rsidR="000C73AD" w:rsidRPr="00F0151C">
        <w:rPr>
          <w:rFonts w:ascii="Arial" w:hAnsi="Arial" w:cs="Arial"/>
          <w:color w:val="auto"/>
          <w:sz w:val="22"/>
          <w:szCs w:val="22"/>
          <w:lang w:val="pl-PL"/>
        </w:rPr>
        <w:t>21</w:t>
      </w:r>
      <w:r w:rsidRPr="00F0151C">
        <w:rPr>
          <w:rFonts w:ascii="Arial" w:hAnsi="Arial" w:cs="Arial"/>
          <w:color w:val="auto"/>
          <w:sz w:val="22"/>
          <w:szCs w:val="22"/>
          <w:lang w:val="pl-PL"/>
        </w:rPr>
        <w:t xml:space="preserve"> r. w sprawie wprowadzenia w życie „Trybu postępowania z dłużnikami”,</w:t>
      </w:r>
    </w:p>
    <w:p w14:paraId="2F1649CE" w14:textId="67A1359F" w:rsidR="0057072D" w:rsidRPr="00F0151C" w:rsidRDefault="0057072D" w:rsidP="00D71B1B">
      <w:pPr>
        <w:pStyle w:val="Akapitzlist"/>
        <w:numPr>
          <w:ilvl w:val="0"/>
          <w:numId w:val="7"/>
        </w:numPr>
        <w:rPr>
          <w:rFonts w:ascii="Arial" w:hAnsi="Arial" w:cs="Arial"/>
          <w:color w:val="auto"/>
          <w:spacing w:val="-2"/>
          <w:sz w:val="22"/>
          <w:szCs w:val="22"/>
          <w:lang w:val="pl-PL"/>
        </w:rPr>
      </w:pPr>
      <w:r w:rsidRPr="00F0151C">
        <w:rPr>
          <w:rFonts w:ascii="Arial" w:hAnsi="Arial" w:cs="Arial"/>
          <w:color w:val="auto"/>
          <w:sz w:val="22"/>
          <w:szCs w:val="22"/>
          <w:lang w:val="pl-PL"/>
        </w:rPr>
        <w:t xml:space="preserve">Zarządzenie nr </w:t>
      </w:r>
      <w:r w:rsidR="000C73AD" w:rsidRPr="00F0151C">
        <w:rPr>
          <w:rFonts w:ascii="Arial" w:hAnsi="Arial" w:cs="Arial"/>
          <w:color w:val="auto"/>
          <w:sz w:val="22"/>
          <w:szCs w:val="22"/>
          <w:lang w:val="pl-PL"/>
        </w:rPr>
        <w:t xml:space="preserve">0152/162/08/18 z dnia 23.08.2018 </w:t>
      </w:r>
      <w:r w:rsidR="00AD4F09" w:rsidRPr="00F0151C">
        <w:rPr>
          <w:rFonts w:ascii="Arial" w:hAnsi="Arial" w:cs="Arial"/>
          <w:color w:val="auto"/>
          <w:sz w:val="22"/>
          <w:szCs w:val="22"/>
          <w:lang w:val="pl-PL"/>
        </w:rPr>
        <w:t>r</w:t>
      </w:r>
      <w:r w:rsidR="000C73AD" w:rsidRPr="00F0151C">
        <w:rPr>
          <w:rFonts w:ascii="Arial" w:hAnsi="Arial" w:cs="Arial"/>
          <w:color w:val="auto"/>
          <w:sz w:val="22"/>
          <w:szCs w:val="22"/>
          <w:lang w:val="pl-PL"/>
        </w:rPr>
        <w:t>.</w:t>
      </w:r>
      <w:r w:rsidR="00AD4F09" w:rsidRPr="00F0151C">
        <w:rPr>
          <w:rFonts w:ascii="Arial" w:hAnsi="Arial" w:cs="Arial"/>
          <w:color w:val="auto"/>
          <w:sz w:val="22"/>
          <w:szCs w:val="22"/>
          <w:lang w:val="pl-PL"/>
        </w:rPr>
        <w:t xml:space="preserve"> </w:t>
      </w:r>
      <w:r w:rsidRPr="00F0151C">
        <w:rPr>
          <w:rFonts w:ascii="Arial" w:hAnsi="Arial" w:cs="Arial"/>
          <w:color w:val="auto"/>
          <w:sz w:val="22"/>
          <w:szCs w:val="22"/>
          <w:lang w:val="pl-PL"/>
        </w:rPr>
        <w:t xml:space="preserve">w sprawie wprowadzenia w życie </w:t>
      </w:r>
      <w:r w:rsidRPr="00F0151C">
        <w:rPr>
          <w:rFonts w:ascii="Arial" w:hAnsi="Arial" w:cs="Arial"/>
          <w:color w:val="auto"/>
          <w:spacing w:val="-2"/>
          <w:sz w:val="22"/>
          <w:szCs w:val="22"/>
          <w:lang w:val="pl-PL"/>
        </w:rPr>
        <w:t>polityki rachunkowości Miejskiego Zarządu Budynków Mieszkalnych w Tychach.</w:t>
      </w:r>
    </w:p>
    <w:p w14:paraId="400C7CAE" w14:textId="5112DF50" w:rsidR="00AD4F09" w:rsidRPr="00F0151C" w:rsidRDefault="00AD4F09" w:rsidP="00D71B1B">
      <w:pPr>
        <w:pStyle w:val="Akapitzlist"/>
        <w:numPr>
          <w:ilvl w:val="0"/>
          <w:numId w:val="7"/>
        </w:numPr>
        <w:rPr>
          <w:rFonts w:ascii="Arial" w:hAnsi="Arial" w:cs="Arial"/>
          <w:color w:val="auto"/>
          <w:spacing w:val="-2"/>
          <w:sz w:val="22"/>
          <w:szCs w:val="22"/>
          <w:lang w:val="pl-PL"/>
        </w:rPr>
      </w:pPr>
      <w:r w:rsidRPr="00F0151C">
        <w:rPr>
          <w:rFonts w:ascii="Arial" w:hAnsi="Arial" w:cs="Arial"/>
          <w:color w:val="auto"/>
          <w:sz w:val="22"/>
          <w:szCs w:val="22"/>
          <w:lang w:val="pl-PL"/>
        </w:rPr>
        <w:lastRenderedPageBreak/>
        <w:t xml:space="preserve">Zarządzenie nr 00152/338/12/2022 z dnia 30.12.2022 r. w sprawie wprowadzenia w życie </w:t>
      </w:r>
      <w:r w:rsidRPr="00F0151C">
        <w:rPr>
          <w:rFonts w:ascii="Arial" w:hAnsi="Arial" w:cs="Arial"/>
          <w:color w:val="auto"/>
          <w:spacing w:val="-2"/>
          <w:sz w:val="22"/>
          <w:szCs w:val="22"/>
          <w:lang w:val="pl-PL"/>
        </w:rPr>
        <w:t>Polityki Rachunkowości Miejskiego Zarządu Budynków Mieszkalnych w Tychach.</w:t>
      </w:r>
    </w:p>
    <w:p w14:paraId="051A31D7" w14:textId="715A2B46" w:rsidR="0057072D" w:rsidRPr="00F0151C" w:rsidRDefault="008327F1" w:rsidP="008327F1">
      <w:pPr>
        <w:pStyle w:val="Tekstprzypisukocowego"/>
        <w:numPr>
          <w:ilvl w:val="0"/>
          <w:numId w:val="7"/>
        </w:numPr>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Zarządzenie nr 0152/16/02/21 z dnia 1.02.2021 r. w sprawie </w:t>
      </w:r>
      <w:r w:rsidR="0057072D" w:rsidRPr="00F0151C">
        <w:rPr>
          <w:rFonts w:ascii="Arial" w:hAnsi="Arial" w:cs="Arial"/>
          <w:color w:val="auto"/>
          <w:spacing w:val="-2"/>
          <w:sz w:val="22"/>
          <w:szCs w:val="22"/>
          <w:lang w:val="pl-PL"/>
        </w:rPr>
        <w:t>Instrukcj</w:t>
      </w:r>
      <w:r w:rsidRPr="00F0151C">
        <w:rPr>
          <w:rFonts w:ascii="Arial" w:hAnsi="Arial" w:cs="Arial"/>
          <w:color w:val="auto"/>
          <w:spacing w:val="-2"/>
          <w:sz w:val="22"/>
          <w:szCs w:val="22"/>
          <w:lang w:val="pl-PL"/>
        </w:rPr>
        <w:t>i</w:t>
      </w:r>
      <w:r w:rsidR="0057072D" w:rsidRPr="00F0151C">
        <w:rPr>
          <w:rFonts w:ascii="Arial" w:hAnsi="Arial" w:cs="Arial"/>
          <w:color w:val="auto"/>
          <w:spacing w:val="-2"/>
          <w:sz w:val="22"/>
          <w:szCs w:val="22"/>
          <w:lang w:val="pl-PL"/>
        </w:rPr>
        <w:t xml:space="preserve"> ramow</w:t>
      </w:r>
      <w:r w:rsidRPr="00F0151C">
        <w:rPr>
          <w:rFonts w:ascii="Arial" w:hAnsi="Arial" w:cs="Arial"/>
          <w:color w:val="auto"/>
          <w:spacing w:val="-2"/>
          <w:sz w:val="22"/>
          <w:szCs w:val="22"/>
          <w:lang w:val="pl-PL"/>
        </w:rPr>
        <w:t>ej</w:t>
      </w:r>
      <w:r w:rsidR="0057072D" w:rsidRPr="00F0151C">
        <w:rPr>
          <w:rFonts w:ascii="Arial" w:hAnsi="Arial" w:cs="Arial"/>
          <w:color w:val="auto"/>
          <w:spacing w:val="-2"/>
          <w:sz w:val="22"/>
          <w:szCs w:val="22"/>
          <w:lang w:val="pl-PL"/>
        </w:rPr>
        <w:t xml:space="preserve"> </w:t>
      </w:r>
      <w:r w:rsidR="0062213F" w:rsidRPr="00F0151C">
        <w:rPr>
          <w:rFonts w:ascii="Arial" w:hAnsi="Arial" w:cs="Arial"/>
          <w:color w:val="auto"/>
          <w:spacing w:val="-2"/>
          <w:sz w:val="22"/>
          <w:szCs w:val="22"/>
          <w:lang w:val="pl-PL"/>
        </w:rPr>
        <w:t>zamówień</w:t>
      </w:r>
      <w:r w:rsidR="0057072D" w:rsidRPr="00F0151C">
        <w:rPr>
          <w:rFonts w:ascii="Arial" w:hAnsi="Arial" w:cs="Arial"/>
          <w:color w:val="auto"/>
          <w:spacing w:val="-2"/>
          <w:sz w:val="22"/>
          <w:szCs w:val="22"/>
          <w:lang w:val="pl-PL"/>
        </w:rPr>
        <w:t xml:space="preserve"> w Miejskim Zarządzie Budynków Mieszkalnych w Tychach wraz z aneksami.</w:t>
      </w:r>
    </w:p>
    <w:p w14:paraId="18F44EF6" w14:textId="2DF63A02" w:rsidR="0062213F" w:rsidRPr="00F0151C" w:rsidRDefault="0062213F" w:rsidP="00D71B1B">
      <w:pPr>
        <w:pStyle w:val="Akapitzlist"/>
        <w:numPr>
          <w:ilvl w:val="0"/>
          <w:numId w:val="7"/>
        </w:numPr>
        <w:rPr>
          <w:rFonts w:ascii="Arial" w:hAnsi="Arial" w:cs="Arial"/>
          <w:color w:val="auto"/>
          <w:spacing w:val="-2"/>
          <w:sz w:val="22"/>
          <w:szCs w:val="22"/>
          <w:lang w:val="pl-PL"/>
        </w:rPr>
      </w:pPr>
      <w:r w:rsidRPr="00F0151C">
        <w:rPr>
          <w:rFonts w:ascii="Arial" w:hAnsi="Arial" w:cs="Arial"/>
          <w:color w:val="auto"/>
          <w:spacing w:val="-2"/>
          <w:sz w:val="22"/>
          <w:szCs w:val="22"/>
          <w:lang w:val="pl-PL"/>
        </w:rPr>
        <w:t>Zarządzenie nr</w:t>
      </w:r>
      <w:r w:rsidR="00E45856" w:rsidRPr="00F0151C">
        <w:rPr>
          <w:rFonts w:ascii="Arial" w:hAnsi="Arial" w:cs="Arial"/>
          <w:color w:val="auto"/>
          <w:spacing w:val="-2"/>
          <w:sz w:val="22"/>
          <w:szCs w:val="22"/>
          <w:lang w:val="pl-PL"/>
        </w:rPr>
        <w:t xml:space="preserve"> 0152/89/052019</w:t>
      </w:r>
      <w:r w:rsidRPr="00F0151C">
        <w:rPr>
          <w:rFonts w:ascii="Arial" w:hAnsi="Arial" w:cs="Arial"/>
          <w:color w:val="auto"/>
          <w:spacing w:val="-2"/>
          <w:sz w:val="22"/>
          <w:szCs w:val="22"/>
          <w:lang w:val="pl-PL"/>
        </w:rPr>
        <w:t xml:space="preserve"> z dnia</w:t>
      </w:r>
      <w:r w:rsidR="00E45856" w:rsidRPr="00F0151C">
        <w:rPr>
          <w:rFonts w:ascii="Arial" w:hAnsi="Arial" w:cs="Arial"/>
          <w:color w:val="auto"/>
          <w:spacing w:val="-2"/>
          <w:sz w:val="22"/>
          <w:szCs w:val="22"/>
          <w:lang w:val="pl-PL"/>
        </w:rPr>
        <w:t xml:space="preserve"> 20.05.2019 r. </w:t>
      </w:r>
      <w:r w:rsidRPr="00F0151C">
        <w:rPr>
          <w:rFonts w:ascii="Arial" w:hAnsi="Arial" w:cs="Arial"/>
          <w:color w:val="auto"/>
          <w:spacing w:val="-2"/>
          <w:sz w:val="22"/>
          <w:szCs w:val="22"/>
          <w:lang w:val="pl-PL"/>
        </w:rPr>
        <w:t>w sprawie wprowadzenia Regulaminu Zakładowego Funduszu Świadczeń Socjalnych Miejskiego Zarządu Budynków Mieszkalnych – Zakład budżetowy w Tychach wraz z aneksami.</w:t>
      </w:r>
    </w:p>
    <w:p w14:paraId="29DFF0B4" w14:textId="1E006689" w:rsidR="00794471" w:rsidRPr="00F0151C" w:rsidRDefault="00794471" w:rsidP="00D71B1B">
      <w:pPr>
        <w:pStyle w:val="Akapitzlist"/>
        <w:numPr>
          <w:ilvl w:val="0"/>
          <w:numId w:val="7"/>
        </w:numPr>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Zarządzenie nr </w:t>
      </w:r>
      <w:r w:rsidR="00E45856" w:rsidRPr="00F0151C">
        <w:rPr>
          <w:rFonts w:ascii="Arial" w:hAnsi="Arial" w:cs="Arial"/>
          <w:color w:val="auto"/>
          <w:spacing w:val="-2"/>
          <w:sz w:val="22"/>
          <w:szCs w:val="22"/>
          <w:lang w:val="pl-PL"/>
        </w:rPr>
        <w:t xml:space="preserve">0152/200/09/2018 </w:t>
      </w:r>
      <w:r w:rsidRPr="00F0151C">
        <w:rPr>
          <w:rFonts w:ascii="Arial" w:hAnsi="Arial" w:cs="Arial"/>
          <w:color w:val="auto"/>
          <w:spacing w:val="-2"/>
          <w:sz w:val="22"/>
          <w:szCs w:val="22"/>
          <w:lang w:val="pl-PL"/>
        </w:rPr>
        <w:t>z dnia</w:t>
      </w:r>
      <w:r w:rsidR="00E45856" w:rsidRPr="00F0151C">
        <w:rPr>
          <w:rFonts w:ascii="Arial" w:hAnsi="Arial" w:cs="Arial"/>
          <w:color w:val="auto"/>
          <w:spacing w:val="-2"/>
          <w:sz w:val="22"/>
          <w:szCs w:val="22"/>
          <w:lang w:val="pl-PL"/>
        </w:rPr>
        <w:t xml:space="preserve"> 27.09.2018 r.</w:t>
      </w:r>
      <w:r w:rsidRPr="00F0151C">
        <w:rPr>
          <w:rFonts w:ascii="Arial" w:hAnsi="Arial" w:cs="Arial"/>
          <w:color w:val="auto"/>
          <w:spacing w:val="-2"/>
          <w:sz w:val="22"/>
          <w:szCs w:val="22"/>
          <w:lang w:val="pl-PL"/>
        </w:rPr>
        <w:t xml:space="preserve"> w sprawie wprowadzenia Regulaminu zasad przydzielania pracownikom środków ochrony indywidualnej, dostarczania odzieży, obuwia roboczego i zaopatrywania w środki higieny osobistej oraz przyznawania refundacji zakupu okularów korygujących wzrok do pracy przy komputerze </w:t>
      </w:r>
      <w:r w:rsidR="00E45856" w:rsidRPr="00F0151C">
        <w:rPr>
          <w:rFonts w:ascii="Arial" w:hAnsi="Arial" w:cs="Arial"/>
          <w:color w:val="auto"/>
          <w:spacing w:val="-2"/>
          <w:sz w:val="22"/>
          <w:szCs w:val="22"/>
          <w:lang w:val="pl-PL"/>
        </w:rPr>
        <w:t>w Miejskim Zarządzie Budynków Mieszkalnych</w:t>
      </w:r>
      <w:r w:rsidR="003B7F10" w:rsidRPr="00F0151C">
        <w:rPr>
          <w:rFonts w:ascii="Arial" w:hAnsi="Arial" w:cs="Arial"/>
          <w:color w:val="auto"/>
          <w:spacing w:val="-2"/>
          <w:sz w:val="22"/>
          <w:szCs w:val="22"/>
          <w:lang w:val="pl-PL"/>
        </w:rPr>
        <w:t>.</w:t>
      </w:r>
    </w:p>
    <w:p w14:paraId="2944371A" w14:textId="23DF4E9C" w:rsidR="00A151EF" w:rsidRPr="00F0151C" w:rsidRDefault="0057072D" w:rsidP="00A151EF">
      <w:pPr>
        <w:spacing w:after="0" w:line="360" w:lineRule="auto"/>
        <w:jc w:val="both"/>
        <w:rPr>
          <w:rFonts w:ascii="Arial" w:hAnsi="Arial" w:cs="Arial"/>
          <w:color w:val="auto"/>
          <w:spacing w:val="-2"/>
        </w:rPr>
      </w:pPr>
      <w:r w:rsidRPr="00F0151C">
        <w:rPr>
          <w:rFonts w:ascii="Arial" w:hAnsi="Arial" w:cs="Arial"/>
          <w:color w:val="auto"/>
          <w:spacing w:val="-2"/>
        </w:rPr>
        <w:t>Zgodnie z polityką rachunkowości</w:t>
      </w:r>
      <w:r w:rsidR="004B1D85" w:rsidRPr="00F0151C">
        <w:rPr>
          <w:rFonts w:ascii="Arial" w:hAnsi="Arial" w:cs="Arial"/>
          <w:color w:val="auto"/>
          <w:spacing w:val="-2"/>
        </w:rPr>
        <w:t>,</w:t>
      </w:r>
      <w:r w:rsidRPr="00F0151C">
        <w:rPr>
          <w:rFonts w:ascii="Arial" w:hAnsi="Arial" w:cs="Arial"/>
          <w:color w:val="auto"/>
          <w:spacing w:val="-2"/>
        </w:rPr>
        <w:t xml:space="preserve"> obowiązującą w zakładzie</w:t>
      </w:r>
      <w:r w:rsidR="004B1D85" w:rsidRPr="00F0151C">
        <w:rPr>
          <w:rFonts w:ascii="Arial" w:hAnsi="Arial" w:cs="Arial"/>
          <w:color w:val="auto"/>
          <w:spacing w:val="-2"/>
        </w:rPr>
        <w:t>,</w:t>
      </w:r>
      <w:r w:rsidRPr="00F0151C">
        <w:rPr>
          <w:rFonts w:ascii="Arial" w:hAnsi="Arial" w:cs="Arial"/>
          <w:color w:val="auto"/>
          <w:spacing w:val="-2"/>
        </w:rPr>
        <w:t xml:space="preserve"> księgi rachunkowe prowadzone są techniką komputerową, przy</w:t>
      </w:r>
      <w:r w:rsidR="004B1D85" w:rsidRPr="00F0151C">
        <w:rPr>
          <w:rFonts w:ascii="Arial" w:hAnsi="Arial" w:cs="Arial"/>
          <w:color w:val="auto"/>
        </w:rPr>
        <w:t xml:space="preserve"> użyciu oprogramowania Papirus SQL firmy </w:t>
      </w:r>
      <w:proofErr w:type="spellStart"/>
      <w:r w:rsidR="004B1D85" w:rsidRPr="00F0151C">
        <w:rPr>
          <w:rFonts w:ascii="Arial" w:hAnsi="Arial" w:cs="Arial"/>
          <w:color w:val="auto"/>
        </w:rPr>
        <w:t>SoftHard</w:t>
      </w:r>
      <w:proofErr w:type="spellEnd"/>
      <w:r w:rsidR="004B1D85" w:rsidRPr="00F0151C">
        <w:rPr>
          <w:rFonts w:ascii="Arial" w:hAnsi="Arial" w:cs="Arial"/>
          <w:color w:val="auto"/>
        </w:rPr>
        <w:t xml:space="preserve"> S.A</w:t>
      </w:r>
      <w:r w:rsidRPr="00F0151C">
        <w:rPr>
          <w:rFonts w:ascii="Arial" w:hAnsi="Arial" w:cs="Arial"/>
          <w:color w:val="auto"/>
          <w:spacing w:val="-2"/>
        </w:rPr>
        <w:t>.</w:t>
      </w:r>
      <w:r w:rsidR="00A151EF" w:rsidRPr="00F0151C">
        <w:rPr>
          <w:rFonts w:ascii="Arial" w:hAnsi="Arial" w:cs="Arial"/>
          <w:color w:val="auto"/>
          <w:spacing w:val="-2"/>
        </w:rPr>
        <w:t>,</w:t>
      </w:r>
      <w:r w:rsidRPr="00F0151C">
        <w:rPr>
          <w:rFonts w:ascii="Arial" w:hAnsi="Arial" w:cs="Arial"/>
          <w:color w:val="auto"/>
          <w:spacing w:val="-2"/>
        </w:rPr>
        <w:t xml:space="preserve"> </w:t>
      </w:r>
      <w:r w:rsidR="00A151EF" w:rsidRPr="00F0151C">
        <w:rPr>
          <w:rFonts w:ascii="Arial" w:hAnsi="Arial" w:cs="Arial"/>
          <w:color w:val="auto"/>
        </w:rPr>
        <w:t>tj.</w:t>
      </w:r>
      <w:r w:rsidR="0011290A" w:rsidRPr="00F0151C">
        <w:rPr>
          <w:rFonts w:ascii="Arial" w:hAnsi="Arial" w:cs="Arial"/>
          <w:color w:val="auto"/>
        </w:rPr>
        <w:t> </w:t>
      </w:r>
      <w:r w:rsidR="00A151EF" w:rsidRPr="00F0151C">
        <w:rPr>
          <w:rFonts w:ascii="Arial" w:hAnsi="Arial" w:cs="Arial"/>
          <w:color w:val="auto"/>
        </w:rPr>
        <w:t>„Zintegrowany System Informatyczny dla Zarządców nieruchomości” w skład, którego wchodzą następujące moduły:</w:t>
      </w:r>
    </w:p>
    <w:p w14:paraId="3902AFA5" w14:textId="392B8286"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moduł FINANSE I KSIĘGOWOŚĆ</w:t>
      </w:r>
    </w:p>
    <w:p w14:paraId="3719268E" w14:textId="1081A1B4"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 xml:space="preserve">moduł KASA I BANKI </w:t>
      </w:r>
    </w:p>
    <w:p w14:paraId="5AE8F8B7" w14:textId="58254298"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 xml:space="preserve">moduł CZYNSZE MEDIA </w:t>
      </w:r>
    </w:p>
    <w:p w14:paraId="369A6A3C" w14:textId="4BC3651D"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 xml:space="preserve">moduł KONTROLING </w:t>
      </w:r>
    </w:p>
    <w:p w14:paraId="5CEA4CE6" w14:textId="220AE46D"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 xml:space="preserve">moduł REJESTRY FAKTUR </w:t>
      </w:r>
    </w:p>
    <w:p w14:paraId="2394E9E0" w14:textId="67958934"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moduł KADRY I PŁACE</w:t>
      </w:r>
    </w:p>
    <w:p w14:paraId="22DCF372" w14:textId="6EBD8B4C"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 xml:space="preserve">moduł OBIEG INFORMACJI I DOKUMENTÓW </w:t>
      </w:r>
    </w:p>
    <w:p w14:paraId="11741151" w14:textId="0384EBF9"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 xml:space="preserve">moduł ŚRODKI TRWAŁE </w:t>
      </w:r>
    </w:p>
    <w:p w14:paraId="2CC90D0B" w14:textId="1D5D64CF"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 xml:space="preserve">moduł REMONTY </w:t>
      </w:r>
    </w:p>
    <w:p w14:paraId="380636D0" w14:textId="22F11944"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moduł ZLECENIA</w:t>
      </w:r>
    </w:p>
    <w:p w14:paraId="77C56D04" w14:textId="77777777"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moduł WEB Administrator</w:t>
      </w:r>
    </w:p>
    <w:p w14:paraId="20512D4C" w14:textId="34DA3D1F" w:rsidR="00A151EF" w:rsidRPr="00F0151C" w:rsidRDefault="00A151EF" w:rsidP="00384BC5">
      <w:pPr>
        <w:numPr>
          <w:ilvl w:val="0"/>
          <w:numId w:val="17"/>
        </w:numPr>
        <w:overflowPunct/>
        <w:spacing w:after="0" w:line="360" w:lineRule="auto"/>
        <w:ind w:left="426" w:hanging="426"/>
        <w:jc w:val="both"/>
        <w:rPr>
          <w:rFonts w:ascii="Arial" w:hAnsi="Arial" w:cs="Arial"/>
          <w:color w:val="auto"/>
        </w:rPr>
      </w:pPr>
      <w:r w:rsidRPr="00F0151C">
        <w:rPr>
          <w:rFonts w:ascii="Arial" w:hAnsi="Arial" w:cs="Arial"/>
          <w:color w:val="auto"/>
        </w:rPr>
        <w:t>ZSI Integrator.</w:t>
      </w:r>
    </w:p>
    <w:p w14:paraId="7CBFE3A6" w14:textId="3AA98A69" w:rsidR="00A151EF" w:rsidRPr="00F0151C" w:rsidRDefault="00A151EF" w:rsidP="00A151EF">
      <w:pPr>
        <w:pStyle w:val="Bezodstpw"/>
        <w:spacing w:line="360" w:lineRule="auto"/>
        <w:jc w:val="both"/>
        <w:rPr>
          <w:rFonts w:ascii="Arial" w:hAnsi="Arial" w:cs="Arial"/>
          <w:spacing w:val="-6"/>
        </w:rPr>
      </w:pPr>
      <w:r w:rsidRPr="00F0151C">
        <w:rPr>
          <w:rFonts w:ascii="Arial" w:hAnsi="Arial" w:cs="Arial"/>
          <w:spacing w:val="-6"/>
        </w:rPr>
        <w:t>Systemy komputerowe zapewniają obsługę w zakresie rachunkowości zakładu umożliwiając m.in.:</w:t>
      </w:r>
    </w:p>
    <w:p w14:paraId="688D619F" w14:textId="77777777" w:rsidR="00A151EF" w:rsidRPr="00F0151C" w:rsidRDefault="00A151EF" w:rsidP="00384BC5">
      <w:pPr>
        <w:pStyle w:val="Bezodstpw"/>
        <w:numPr>
          <w:ilvl w:val="0"/>
          <w:numId w:val="18"/>
        </w:numPr>
        <w:spacing w:line="360" w:lineRule="auto"/>
        <w:ind w:left="426" w:hanging="426"/>
        <w:jc w:val="both"/>
        <w:rPr>
          <w:rFonts w:ascii="Arial" w:hAnsi="Arial" w:cs="Arial"/>
        </w:rPr>
      </w:pPr>
      <w:r w:rsidRPr="00F0151C">
        <w:rPr>
          <w:rFonts w:ascii="Arial" w:hAnsi="Arial" w:cs="Arial"/>
        </w:rPr>
        <w:t>prowadzenie kartoteki dowodów księgowych z możliwością jej przeglądania,</w:t>
      </w:r>
    </w:p>
    <w:p w14:paraId="12E6F698" w14:textId="77777777" w:rsidR="00A151EF" w:rsidRPr="00F0151C" w:rsidRDefault="00A151EF" w:rsidP="00384BC5">
      <w:pPr>
        <w:pStyle w:val="Bezodstpw"/>
        <w:numPr>
          <w:ilvl w:val="0"/>
          <w:numId w:val="18"/>
        </w:numPr>
        <w:spacing w:line="360" w:lineRule="auto"/>
        <w:ind w:left="426" w:hanging="426"/>
        <w:jc w:val="both"/>
        <w:rPr>
          <w:rFonts w:ascii="Arial" w:hAnsi="Arial" w:cs="Arial"/>
        </w:rPr>
      </w:pPr>
      <w:r w:rsidRPr="00F0151C">
        <w:rPr>
          <w:rFonts w:ascii="Arial" w:hAnsi="Arial" w:cs="Arial"/>
        </w:rPr>
        <w:t>przeglądanie i drukowanie obrotów na wybranym z planu kont koncie analitycznym lub syntetycznym w podanym okresie czasu,</w:t>
      </w:r>
    </w:p>
    <w:p w14:paraId="418ED2ED" w14:textId="77777777" w:rsidR="00A151EF" w:rsidRPr="00F0151C" w:rsidRDefault="00A151EF" w:rsidP="00384BC5">
      <w:pPr>
        <w:pStyle w:val="Bezodstpw"/>
        <w:numPr>
          <w:ilvl w:val="0"/>
          <w:numId w:val="18"/>
        </w:numPr>
        <w:spacing w:line="360" w:lineRule="auto"/>
        <w:ind w:left="426" w:hanging="426"/>
        <w:jc w:val="both"/>
        <w:rPr>
          <w:rFonts w:ascii="Arial" w:hAnsi="Arial" w:cs="Arial"/>
        </w:rPr>
      </w:pPr>
      <w:r w:rsidRPr="00F0151C">
        <w:rPr>
          <w:rFonts w:ascii="Arial" w:hAnsi="Arial" w:cs="Arial"/>
        </w:rPr>
        <w:t>przeglądanie i drukowanie stanów kont w danym okresie – w ujęciu analitycznym lub syntetycznym,</w:t>
      </w:r>
    </w:p>
    <w:p w14:paraId="1F3EA04C" w14:textId="77777777" w:rsidR="00A151EF" w:rsidRPr="00F0151C" w:rsidRDefault="00A151EF" w:rsidP="00384BC5">
      <w:pPr>
        <w:pStyle w:val="Bezodstpw"/>
        <w:numPr>
          <w:ilvl w:val="0"/>
          <w:numId w:val="18"/>
        </w:numPr>
        <w:spacing w:line="360" w:lineRule="auto"/>
        <w:ind w:left="426" w:hanging="426"/>
        <w:jc w:val="both"/>
        <w:rPr>
          <w:rFonts w:ascii="Arial" w:hAnsi="Arial" w:cs="Arial"/>
        </w:rPr>
      </w:pPr>
      <w:r w:rsidRPr="00F0151C">
        <w:rPr>
          <w:rFonts w:ascii="Arial" w:hAnsi="Arial" w:cs="Arial"/>
        </w:rPr>
        <w:lastRenderedPageBreak/>
        <w:t>prowadzenie kartoteki planów finansowych z możliwością sporządzania wykazów  zawierających stopień wykonania planu w dowolnym okresie czasu,</w:t>
      </w:r>
    </w:p>
    <w:p w14:paraId="4098410D" w14:textId="77777777" w:rsidR="00A151EF" w:rsidRPr="00F0151C" w:rsidRDefault="00A151EF" w:rsidP="00384BC5">
      <w:pPr>
        <w:pStyle w:val="Bezodstpw"/>
        <w:numPr>
          <w:ilvl w:val="0"/>
          <w:numId w:val="18"/>
        </w:numPr>
        <w:spacing w:line="360" w:lineRule="auto"/>
        <w:ind w:left="426" w:hanging="426"/>
        <w:jc w:val="both"/>
        <w:rPr>
          <w:rFonts w:ascii="Arial" w:hAnsi="Arial" w:cs="Arial"/>
        </w:rPr>
      </w:pPr>
      <w:r w:rsidRPr="00F0151C">
        <w:rPr>
          <w:rFonts w:ascii="Arial" w:hAnsi="Arial" w:cs="Arial"/>
        </w:rPr>
        <w:t>wykonanie analizy kont w zakresie rozrachunków,</w:t>
      </w:r>
    </w:p>
    <w:p w14:paraId="2C046777" w14:textId="77777777" w:rsidR="00A151EF" w:rsidRPr="00F0151C" w:rsidRDefault="00A151EF" w:rsidP="00384BC5">
      <w:pPr>
        <w:pStyle w:val="Bezodstpw"/>
        <w:numPr>
          <w:ilvl w:val="0"/>
          <w:numId w:val="18"/>
        </w:numPr>
        <w:spacing w:line="360" w:lineRule="auto"/>
        <w:ind w:left="426" w:hanging="426"/>
        <w:jc w:val="both"/>
        <w:rPr>
          <w:rFonts w:ascii="Arial" w:hAnsi="Arial" w:cs="Arial"/>
        </w:rPr>
      </w:pPr>
      <w:r w:rsidRPr="00F0151C">
        <w:rPr>
          <w:rFonts w:ascii="Arial" w:hAnsi="Arial" w:cs="Arial"/>
        </w:rPr>
        <w:t>definiowanie i generowanie zestawień budżetowych według indywidualnych potrzeb.</w:t>
      </w:r>
    </w:p>
    <w:p w14:paraId="15F2E5C0" w14:textId="37983DDE" w:rsidR="0057072D" w:rsidRPr="00F0151C" w:rsidRDefault="0057072D" w:rsidP="0057072D">
      <w:pPr>
        <w:tabs>
          <w:tab w:val="left" w:pos="426"/>
        </w:tabs>
        <w:spacing w:after="0" w:line="360" w:lineRule="auto"/>
        <w:jc w:val="both"/>
        <w:rPr>
          <w:rFonts w:ascii="Arial" w:hAnsi="Arial" w:cs="Arial"/>
          <w:b/>
          <w:color w:val="auto"/>
          <w:spacing w:val="-2"/>
        </w:rPr>
      </w:pPr>
    </w:p>
    <w:p w14:paraId="4568AD5D" w14:textId="1ED9BD37" w:rsidR="006F36F3" w:rsidRPr="00F0151C" w:rsidRDefault="006F36F3" w:rsidP="006F36F3">
      <w:pPr>
        <w:pStyle w:val="Akapitzlist"/>
        <w:ind w:left="0" w:firstLine="448"/>
        <w:rPr>
          <w:rFonts w:ascii="Arial" w:hAnsi="Arial" w:cs="Arial"/>
          <w:color w:val="auto"/>
          <w:sz w:val="22"/>
          <w:szCs w:val="22"/>
          <w:lang w:val="pl-PL"/>
        </w:rPr>
      </w:pPr>
      <w:r w:rsidRPr="00F0151C">
        <w:rPr>
          <w:rFonts w:ascii="Arial" w:hAnsi="Arial" w:cs="Arial"/>
          <w:b/>
          <w:bCs/>
          <w:color w:val="auto"/>
          <w:sz w:val="22"/>
          <w:szCs w:val="22"/>
          <w:lang w:val="pl-PL"/>
        </w:rPr>
        <w:t xml:space="preserve">Zauważa się, że w zapisach, obowiązującej od 1.01.2023 r., polityki rachunkowości nie uwzględniono wytycznych zawartych w niżej wymienionych pismach Prezydenta </w:t>
      </w:r>
      <w:r w:rsidR="007A328E" w:rsidRPr="00F0151C">
        <w:rPr>
          <w:rFonts w:ascii="Arial" w:hAnsi="Arial" w:cs="Arial"/>
          <w:b/>
          <w:bCs/>
          <w:color w:val="auto"/>
          <w:sz w:val="22"/>
          <w:szCs w:val="22"/>
          <w:lang w:val="pl-PL"/>
        </w:rPr>
        <w:t xml:space="preserve">Miasta Tychy </w:t>
      </w:r>
      <w:r w:rsidRPr="00F0151C">
        <w:rPr>
          <w:rFonts w:ascii="Arial" w:hAnsi="Arial" w:cs="Arial"/>
          <w:b/>
          <w:bCs/>
          <w:color w:val="auto"/>
          <w:sz w:val="22"/>
          <w:szCs w:val="22"/>
          <w:lang w:val="pl-PL"/>
        </w:rPr>
        <w:t>w sprawie ustalenia wspólnych zasad rachunkowości w zakresie ujmowania w księgach rachunkowych przychodów i</w:t>
      </w:r>
      <w:r w:rsidR="00A94846" w:rsidRPr="00F0151C">
        <w:rPr>
          <w:rFonts w:ascii="Arial" w:hAnsi="Arial" w:cs="Arial"/>
          <w:b/>
          <w:bCs/>
          <w:color w:val="auto"/>
          <w:sz w:val="22"/>
          <w:szCs w:val="22"/>
          <w:lang w:val="pl-PL"/>
        </w:rPr>
        <w:t xml:space="preserve"> </w:t>
      </w:r>
      <w:r w:rsidRPr="00F0151C">
        <w:rPr>
          <w:rFonts w:ascii="Arial" w:hAnsi="Arial" w:cs="Arial"/>
          <w:b/>
          <w:bCs/>
          <w:color w:val="auto"/>
          <w:sz w:val="22"/>
          <w:szCs w:val="22"/>
          <w:lang w:val="pl-PL"/>
        </w:rPr>
        <w:t>kosztów, tj.:</w:t>
      </w:r>
    </w:p>
    <w:p w14:paraId="5BCFABD7" w14:textId="77777777" w:rsidR="006F36F3" w:rsidRPr="00F0151C" w:rsidRDefault="006F36F3" w:rsidP="00384BC5">
      <w:pPr>
        <w:pStyle w:val="Akapitzlist"/>
        <w:numPr>
          <w:ilvl w:val="0"/>
          <w:numId w:val="23"/>
        </w:numPr>
        <w:tabs>
          <w:tab w:val="left" w:pos="426"/>
        </w:tabs>
        <w:ind w:left="0" w:firstLine="0"/>
        <w:rPr>
          <w:rFonts w:ascii="Arial" w:hAnsi="Arial" w:cs="Arial"/>
          <w:color w:val="auto"/>
          <w:sz w:val="22"/>
          <w:szCs w:val="22"/>
          <w:lang w:val="pl-PL"/>
        </w:rPr>
      </w:pPr>
      <w:r w:rsidRPr="00F0151C">
        <w:rPr>
          <w:rFonts w:ascii="Arial" w:hAnsi="Arial" w:cs="Arial"/>
          <w:color w:val="auto"/>
          <w:sz w:val="22"/>
          <w:szCs w:val="22"/>
          <w:lang w:val="pl-PL"/>
        </w:rPr>
        <w:t>Pisma z dnia 11.01.2018 r. w którym wskazano, że.:</w:t>
      </w:r>
    </w:p>
    <w:p w14:paraId="490035E4" w14:textId="7884C0DB" w:rsidR="006F36F3" w:rsidRPr="00F0151C" w:rsidRDefault="006F36F3" w:rsidP="00384BC5">
      <w:pPr>
        <w:pStyle w:val="Akapitzlist"/>
        <w:numPr>
          <w:ilvl w:val="0"/>
          <w:numId w:val="25"/>
        </w:numPr>
        <w:ind w:left="462" w:hanging="462"/>
        <w:rPr>
          <w:rFonts w:ascii="Arial" w:hAnsi="Arial" w:cs="Arial"/>
          <w:color w:val="auto"/>
          <w:spacing w:val="-2"/>
          <w:sz w:val="22"/>
          <w:szCs w:val="22"/>
          <w:lang w:val="pl-PL"/>
        </w:rPr>
      </w:pPr>
      <w:r w:rsidRPr="00F0151C">
        <w:rPr>
          <w:rFonts w:ascii="Arial" w:hAnsi="Arial" w:cs="Arial"/>
          <w:color w:val="auto"/>
          <w:spacing w:val="-2"/>
          <w:sz w:val="22"/>
          <w:szCs w:val="22"/>
          <w:lang w:val="pl-PL"/>
        </w:rPr>
        <w:t>środki trwałe i pozostałe środki trwałe uznane za nienadające się do użytkowania i postawione w stan likwidacji należy wyksięgować z ewidencji bilansowej i ująć w</w:t>
      </w:r>
      <w:r w:rsidR="002230CE"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ewidencji pozabilansowej do czasu ich fizycznego zniszczenia / kasacji.</w:t>
      </w:r>
    </w:p>
    <w:p w14:paraId="28203D0D" w14:textId="0B4BDEAD" w:rsidR="006F36F3" w:rsidRPr="00F0151C" w:rsidRDefault="006F36F3" w:rsidP="00384BC5">
      <w:pPr>
        <w:pStyle w:val="Akapitzlist"/>
        <w:numPr>
          <w:ilvl w:val="0"/>
          <w:numId w:val="25"/>
        </w:numPr>
        <w:ind w:left="462" w:hanging="462"/>
        <w:rPr>
          <w:rFonts w:ascii="Arial" w:hAnsi="Arial" w:cs="Arial"/>
          <w:b/>
          <w:color w:val="auto"/>
          <w:spacing w:val="-4"/>
          <w:sz w:val="22"/>
          <w:szCs w:val="22"/>
          <w:lang w:val="pl-PL"/>
        </w:rPr>
      </w:pPr>
      <w:r w:rsidRPr="00F0151C">
        <w:rPr>
          <w:rFonts w:ascii="Arial" w:hAnsi="Arial" w:cs="Arial"/>
          <w:color w:val="auto"/>
          <w:spacing w:val="-4"/>
          <w:sz w:val="22"/>
          <w:szCs w:val="22"/>
          <w:lang w:val="pl-PL"/>
        </w:rPr>
        <w:t>w zakresie ujmowania w</w:t>
      </w:r>
      <w:r w:rsidR="00A94846" w:rsidRPr="00F0151C">
        <w:rPr>
          <w:rFonts w:ascii="Arial" w:hAnsi="Arial" w:cs="Arial"/>
          <w:color w:val="auto"/>
          <w:spacing w:val="-4"/>
          <w:sz w:val="22"/>
          <w:szCs w:val="22"/>
          <w:lang w:val="pl-PL"/>
        </w:rPr>
        <w:t xml:space="preserve"> </w:t>
      </w:r>
      <w:r w:rsidRPr="00F0151C">
        <w:rPr>
          <w:rFonts w:ascii="Arial" w:hAnsi="Arial" w:cs="Arial"/>
          <w:color w:val="auto"/>
          <w:spacing w:val="-4"/>
          <w:sz w:val="22"/>
          <w:szCs w:val="22"/>
          <w:lang w:val="pl-PL"/>
        </w:rPr>
        <w:t>księgach rachunkowych przychodów i kosztów należy stosować zasady wynikające z</w:t>
      </w:r>
      <w:r w:rsidR="00A94846" w:rsidRPr="00F0151C">
        <w:rPr>
          <w:rFonts w:ascii="Arial" w:hAnsi="Arial" w:cs="Arial"/>
          <w:color w:val="auto"/>
          <w:spacing w:val="-4"/>
          <w:sz w:val="22"/>
          <w:szCs w:val="22"/>
          <w:lang w:val="pl-PL"/>
        </w:rPr>
        <w:t xml:space="preserve"> </w:t>
      </w:r>
      <w:r w:rsidRPr="00F0151C">
        <w:rPr>
          <w:rFonts w:ascii="Arial" w:hAnsi="Arial" w:cs="Arial"/>
          <w:color w:val="auto"/>
          <w:spacing w:val="-4"/>
          <w:sz w:val="22"/>
          <w:szCs w:val="22"/>
          <w:lang w:val="pl-PL"/>
        </w:rPr>
        <w:t>artykułu 6 ust. 1, art. 20 ust. 1 oraz art. 24 ustawy o rachunkowości, co oznacza, że</w:t>
      </w:r>
      <w:r w:rsidR="00A94846" w:rsidRPr="00F0151C">
        <w:rPr>
          <w:rFonts w:ascii="Arial" w:hAnsi="Arial" w:cs="Arial"/>
          <w:color w:val="auto"/>
          <w:spacing w:val="-4"/>
          <w:sz w:val="22"/>
          <w:szCs w:val="22"/>
          <w:lang w:val="pl-PL"/>
        </w:rPr>
        <w:t xml:space="preserve"> </w:t>
      </w:r>
      <w:r w:rsidRPr="00F0151C">
        <w:rPr>
          <w:rFonts w:ascii="Arial" w:hAnsi="Arial" w:cs="Arial"/>
          <w:color w:val="auto"/>
          <w:spacing w:val="-4"/>
          <w:sz w:val="22"/>
          <w:szCs w:val="22"/>
          <w:lang w:val="pl-PL"/>
        </w:rPr>
        <w:t>ujęcie operacji gospodarczych w księgach rachunkowych następuje w</w:t>
      </w:r>
      <w:r w:rsidR="00A94846" w:rsidRPr="00F0151C">
        <w:rPr>
          <w:rFonts w:ascii="Arial" w:hAnsi="Arial" w:cs="Arial"/>
          <w:color w:val="auto"/>
          <w:spacing w:val="-4"/>
          <w:sz w:val="22"/>
          <w:szCs w:val="22"/>
          <w:lang w:val="pl-PL"/>
        </w:rPr>
        <w:t> </w:t>
      </w:r>
      <w:r w:rsidRPr="00F0151C">
        <w:rPr>
          <w:rFonts w:ascii="Arial" w:hAnsi="Arial" w:cs="Arial"/>
          <w:color w:val="auto"/>
          <w:spacing w:val="-4"/>
          <w:sz w:val="22"/>
          <w:szCs w:val="22"/>
          <w:lang w:val="pl-PL"/>
        </w:rPr>
        <w:t>momencie ich powstania, a nie w dacie ich zapłaty. W</w:t>
      </w:r>
      <w:r w:rsidR="00A94846" w:rsidRPr="00F0151C">
        <w:rPr>
          <w:rFonts w:ascii="Arial" w:hAnsi="Arial" w:cs="Arial"/>
          <w:color w:val="auto"/>
          <w:spacing w:val="-4"/>
          <w:sz w:val="22"/>
          <w:szCs w:val="22"/>
          <w:lang w:val="pl-PL"/>
        </w:rPr>
        <w:t xml:space="preserve"> </w:t>
      </w:r>
      <w:r w:rsidRPr="00F0151C">
        <w:rPr>
          <w:rFonts w:ascii="Arial" w:hAnsi="Arial" w:cs="Arial"/>
          <w:color w:val="auto"/>
          <w:spacing w:val="-4"/>
          <w:sz w:val="22"/>
          <w:szCs w:val="22"/>
          <w:lang w:val="pl-PL"/>
        </w:rPr>
        <w:t>przypadku, gdy koszty/przychody wynikające z dokumentu księgowego obejmują okres wykraczający poza jeden miesiąc,</w:t>
      </w:r>
      <w:r w:rsidRPr="00F0151C">
        <w:rPr>
          <w:rFonts w:ascii="Arial" w:hAnsi="Arial" w:cs="Arial"/>
          <w:b/>
          <w:color w:val="auto"/>
          <w:spacing w:val="-4"/>
          <w:sz w:val="22"/>
          <w:szCs w:val="22"/>
          <w:lang w:val="pl-PL"/>
        </w:rPr>
        <w:t xml:space="preserve"> należy dokonać ich podziału i ująć odpowiednio w</w:t>
      </w:r>
      <w:r w:rsidR="00A94846" w:rsidRPr="00F0151C">
        <w:rPr>
          <w:rFonts w:ascii="Arial" w:hAnsi="Arial" w:cs="Arial"/>
          <w:b/>
          <w:color w:val="auto"/>
          <w:spacing w:val="-4"/>
          <w:sz w:val="22"/>
          <w:szCs w:val="22"/>
          <w:lang w:val="pl-PL"/>
        </w:rPr>
        <w:t xml:space="preserve"> </w:t>
      </w:r>
      <w:r w:rsidRPr="00F0151C">
        <w:rPr>
          <w:rFonts w:ascii="Arial" w:hAnsi="Arial" w:cs="Arial"/>
          <w:b/>
          <w:color w:val="auto"/>
          <w:spacing w:val="-4"/>
          <w:sz w:val="22"/>
          <w:szCs w:val="22"/>
          <w:lang w:val="pl-PL"/>
        </w:rPr>
        <w:t xml:space="preserve">księgach miesięcy, których dotyczą. </w:t>
      </w:r>
      <w:r w:rsidRPr="00F0151C">
        <w:rPr>
          <w:rFonts w:ascii="Arial" w:hAnsi="Arial" w:cs="Arial"/>
          <w:bCs/>
          <w:color w:val="auto"/>
          <w:spacing w:val="-4"/>
          <w:sz w:val="22"/>
          <w:szCs w:val="22"/>
          <w:lang w:val="pl-PL"/>
        </w:rPr>
        <w:t xml:space="preserve">Natomiast </w:t>
      </w:r>
      <w:r w:rsidR="007A328E" w:rsidRPr="00F0151C">
        <w:rPr>
          <w:rFonts w:ascii="Arial" w:hAnsi="Arial" w:cs="Arial"/>
          <w:bCs/>
          <w:color w:val="auto"/>
          <w:spacing w:val="-4"/>
          <w:sz w:val="22"/>
          <w:szCs w:val="22"/>
          <w:lang w:val="pl-PL"/>
        </w:rPr>
        <w:t xml:space="preserve">w </w:t>
      </w:r>
      <w:r w:rsidRPr="00F0151C">
        <w:rPr>
          <w:rFonts w:ascii="Arial" w:hAnsi="Arial" w:cs="Arial"/>
          <w:bCs/>
          <w:color w:val="auto"/>
          <w:spacing w:val="-4"/>
          <w:sz w:val="22"/>
          <w:szCs w:val="22"/>
          <w:lang w:val="pl-PL"/>
        </w:rPr>
        <w:t>§ 3 ust</w:t>
      </w:r>
      <w:r w:rsidRPr="00F0151C">
        <w:rPr>
          <w:rFonts w:ascii="Arial" w:hAnsi="Arial" w:cs="Arial"/>
          <w:color w:val="auto"/>
          <w:spacing w:val="-4"/>
          <w:sz w:val="22"/>
          <w:szCs w:val="22"/>
          <w:lang w:val="pl-PL"/>
        </w:rPr>
        <w:t>. 14 polityki rachunkowości, ujęto jedynie zapis, że „księgi rachunkowe powinny być prowadzone rzetelnie, bezbłędnie, sprawdzalnie i na bieżąco. Zapisy mają odzwierciedlać stan rzeczywisty. Wprowadzane do nich dowody księgowe powinny być kompletne i</w:t>
      </w:r>
      <w:r w:rsidR="00A94846" w:rsidRPr="00F0151C">
        <w:rPr>
          <w:rFonts w:ascii="Arial" w:hAnsi="Arial" w:cs="Arial"/>
          <w:color w:val="auto"/>
          <w:spacing w:val="-4"/>
          <w:sz w:val="22"/>
          <w:szCs w:val="22"/>
          <w:lang w:val="pl-PL"/>
        </w:rPr>
        <w:t xml:space="preserve"> </w:t>
      </w:r>
      <w:r w:rsidRPr="00F0151C">
        <w:rPr>
          <w:rFonts w:ascii="Arial" w:hAnsi="Arial" w:cs="Arial"/>
          <w:color w:val="auto"/>
          <w:spacing w:val="-4"/>
          <w:sz w:val="22"/>
          <w:szCs w:val="22"/>
          <w:lang w:val="pl-PL"/>
        </w:rPr>
        <w:t>poprawnie zakwalifikowane do zaksięgowania w danym miesiącu”.</w:t>
      </w:r>
    </w:p>
    <w:p w14:paraId="77D2F1AA" w14:textId="36A957B7" w:rsidR="006F36F3" w:rsidRPr="00F0151C" w:rsidRDefault="006F36F3" w:rsidP="00384BC5">
      <w:pPr>
        <w:pStyle w:val="Akapitzlist"/>
        <w:numPr>
          <w:ilvl w:val="0"/>
          <w:numId w:val="25"/>
        </w:numPr>
        <w:ind w:left="462" w:hanging="462"/>
        <w:rPr>
          <w:rFonts w:ascii="Arial" w:hAnsi="Arial" w:cs="Arial"/>
          <w:b/>
          <w:color w:val="auto"/>
          <w:spacing w:val="-2"/>
          <w:sz w:val="22"/>
          <w:szCs w:val="22"/>
          <w:lang w:val="pl-PL"/>
        </w:rPr>
      </w:pPr>
      <w:r w:rsidRPr="00F0151C">
        <w:rPr>
          <w:rFonts w:ascii="Arial" w:hAnsi="Arial" w:cs="Arial"/>
          <w:color w:val="auto"/>
          <w:spacing w:val="-2"/>
          <w:sz w:val="22"/>
          <w:szCs w:val="22"/>
          <w:lang w:val="pl-PL"/>
        </w:rPr>
        <w:t>zmniejszenie (refundacja) kosztów w jednostkach budżetowych i zakładzie budżetowym może wystąpić w przypadku: otrzymania od kontrahentów dokumentów korygujących (zmniejszających) wysokość wcześniej poniesionych kosztów oraz poprzez wystawienie not obciążeniowych przenoszących poniesione koszty  na inną jednostkę budżetową lub zakład budżetowy np. w przypadku „odsprzedaży” części kosztów energii na rzecz podmiotu podnajmującego. Jeżeli stroną transakcji będzie inny podmiot niż jednostka budżetowa lub zakład budżetowy np. samorządowa instytucja kultury, czy też spółka, kwoty wynikające z not obciążeniowych należy uznać za przychód. W polityce rachunkowości ujęto natomiast mniej szczegółowy zapis, że zmniejszenie kosztów w</w:t>
      </w:r>
      <w:r w:rsidR="00A94846"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 xml:space="preserve">zakładzie może wystąpić w przypadku: otrzymania od kontrahentów dokumentów korygujących (zmniejszających) wysokość wcześniej poniesionych kosztów oraz wystawienia dokumentów przenoszących poniesione koszty na inny podmiot np. na wspólnotę mieszkaniową. </w:t>
      </w:r>
    </w:p>
    <w:p w14:paraId="728DEDB5" w14:textId="72B7C79C" w:rsidR="006F36F3" w:rsidRPr="00F0151C" w:rsidRDefault="006F36F3" w:rsidP="00384BC5">
      <w:pPr>
        <w:pStyle w:val="Akapitzlist"/>
        <w:numPr>
          <w:ilvl w:val="0"/>
          <w:numId w:val="23"/>
        </w:numPr>
        <w:tabs>
          <w:tab w:val="left" w:pos="426"/>
        </w:tabs>
        <w:ind w:left="0" w:firstLine="0"/>
        <w:rPr>
          <w:rFonts w:ascii="Arial" w:hAnsi="Arial" w:cs="Arial"/>
          <w:bCs/>
          <w:color w:val="auto"/>
          <w:sz w:val="22"/>
          <w:szCs w:val="22"/>
          <w:lang w:val="pl-PL"/>
        </w:rPr>
      </w:pPr>
      <w:r w:rsidRPr="00F0151C">
        <w:rPr>
          <w:rFonts w:ascii="Arial" w:hAnsi="Arial" w:cs="Arial"/>
          <w:bCs/>
          <w:color w:val="auto"/>
          <w:sz w:val="22"/>
          <w:szCs w:val="22"/>
          <w:lang w:val="pl-PL"/>
        </w:rPr>
        <w:lastRenderedPageBreak/>
        <w:t xml:space="preserve">Pisma z marca 2019 r. w którym wskazano zasady w zakresie prowadzenia ewidencji ilościowej wyposażenia </w:t>
      </w:r>
      <w:proofErr w:type="spellStart"/>
      <w:r w:rsidRPr="00F0151C">
        <w:rPr>
          <w:rFonts w:ascii="Arial" w:hAnsi="Arial" w:cs="Arial"/>
          <w:bCs/>
          <w:color w:val="auto"/>
          <w:sz w:val="22"/>
          <w:szCs w:val="22"/>
          <w:lang w:val="pl-PL"/>
        </w:rPr>
        <w:t>niskocennego</w:t>
      </w:r>
      <w:proofErr w:type="spellEnd"/>
      <w:r w:rsidRPr="00F0151C">
        <w:rPr>
          <w:rFonts w:ascii="Arial" w:hAnsi="Arial" w:cs="Arial"/>
          <w:bCs/>
          <w:color w:val="auto"/>
          <w:sz w:val="22"/>
          <w:szCs w:val="22"/>
          <w:lang w:val="pl-PL"/>
        </w:rPr>
        <w:t xml:space="preserve"> oraz ewidencji księgowej dokonywanych zakupów, których dostawa i fakturowanie następuje w różnych okresach sprawozdawczych. Zgodnie z</w:t>
      </w:r>
      <w:r w:rsidR="002230CE" w:rsidRPr="00F0151C">
        <w:rPr>
          <w:rFonts w:ascii="Arial" w:hAnsi="Arial" w:cs="Arial"/>
          <w:bCs/>
          <w:color w:val="auto"/>
          <w:sz w:val="22"/>
          <w:szCs w:val="22"/>
          <w:lang w:val="pl-PL"/>
        </w:rPr>
        <w:t> </w:t>
      </w:r>
      <w:r w:rsidRPr="00F0151C">
        <w:rPr>
          <w:rFonts w:ascii="Arial" w:hAnsi="Arial" w:cs="Arial"/>
          <w:bCs/>
          <w:color w:val="auto"/>
          <w:sz w:val="22"/>
          <w:szCs w:val="22"/>
          <w:lang w:val="pl-PL"/>
        </w:rPr>
        <w:t>zapisami polityki rachunkowości ewidencję ilościową prowadzi się dla pozostałych środków trwałych o wartości do 2 500 zł oraz że bez względu na wartość ewidencję  ilościową wartościową prowadzi się dla: sprzętu komputerowego, drukarek, skanerów, telefonów komórkowych, sprzętu audiowizualnego, kamer, aparatów fotograficznych, elektronarzędzi. Nie uszczegółowiono jednak powyższych zapisów zgodnie z wytycznymi zawartymi w ww. piśmie, tj. że ewidencją ilościową objęte jest następujące wyposażenie:</w:t>
      </w:r>
    </w:p>
    <w:p w14:paraId="49E528C5" w14:textId="6D35BB28" w:rsidR="006F36F3" w:rsidRPr="00F0151C" w:rsidRDefault="006F36F3" w:rsidP="0008209B">
      <w:pPr>
        <w:pStyle w:val="Akapitzlist"/>
        <w:numPr>
          <w:ilvl w:val="0"/>
          <w:numId w:val="24"/>
        </w:numPr>
        <w:ind w:left="686" w:hanging="336"/>
        <w:rPr>
          <w:rFonts w:ascii="Arial" w:hAnsi="Arial" w:cs="Arial"/>
          <w:bCs/>
          <w:color w:val="auto"/>
          <w:sz w:val="22"/>
          <w:szCs w:val="22"/>
          <w:lang w:val="pl-PL"/>
        </w:rPr>
      </w:pPr>
      <w:r w:rsidRPr="00F0151C">
        <w:rPr>
          <w:rFonts w:ascii="Arial" w:hAnsi="Arial" w:cs="Arial"/>
          <w:bCs/>
          <w:color w:val="auto"/>
          <w:sz w:val="22"/>
          <w:szCs w:val="22"/>
          <w:lang w:val="pl-PL"/>
        </w:rPr>
        <w:t>meble, sprzęt RTV, sprzęt informatyczny, kserokopiarki, sprzęt fotograficzny, kamery,</w:t>
      </w:r>
      <w:r w:rsidR="0008209B" w:rsidRPr="00F0151C">
        <w:rPr>
          <w:rFonts w:ascii="Arial" w:hAnsi="Arial" w:cs="Arial"/>
          <w:bCs/>
          <w:color w:val="auto"/>
          <w:sz w:val="22"/>
          <w:szCs w:val="22"/>
          <w:lang w:val="pl-PL"/>
        </w:rPr>
        <w:t xml:space="preserve"> </w:t>
      </w:r>
      <w:r w:rsidRPr="00F0151C">
        <w:rPr>
          <w:rFonts w:ascii="Arial" w:hAnsi="Arial" w:cs="Arial"/>
          <w:bCs/>
          <w:color w:val="auto"/>
          <w:sz w:val="22"/>
          <w:szCs w:val="22"/>
          <w:lang w:val="pl-PL"/>
        </w:rPr>
        <w:t>sprzęt audiowizualny oraz telefony komórkowe o wartości jednostkowej do 2 500 zł,</w:t>
      </w:r>
    </w:p>
    <w:p w14:paraId="7759FCAF" w14:textId="77777777" w:rsidR="006F36F3" w:rsidRPr="00F0151C" w:rsidRDefault="006F36F3" w:rsidP="0008209B">
      <w:pPr>
        <w:pStyle w:val="Akapitzlist"/>
        <w:numPr>
          <w:ilvl w:val="0"/>
          <w:numId w:val="24"/>
        </w:numPr>
        <w:ind w:left="686" w:hanging="336"/>
        <w:rPr>
          <w:rFonts w:ascii="Arial" w:hAnsi="Arial" w:cs="Arial"/>
          <w:bCs/>
          <w:color w:val="auto"/>
          <w:sz w:val="22"/>
          <w:szCs w:val="22"/>
          <w:lang w:val="pl-PL"/>
        </w:rPr>
      </w:pPr>
      <w:r w:rsidRPr="00F0151C">
        <w:rPr>
          <w:rFonts w:ascii="Arial" w:hAnsi="Arial" w:cs="Arial"/>
          <w:bCs/>
          <w:color w:val="auto"/>
          <w:sz w:val="22"/>
          <w:szCs w:val="22"/>
          <w:lang w:val="pl-PL"/>
        </w:rPr>
        <w:t>sprzęt AGD o wartości jednostkowej od 100 zł do 2 500 zł,</w:t>
      </w:r>
    </w:p>
    <w:p w14:paraId="523FADB9" w14:textId="77777777" w:rsidR="006F36F3" w:rsidRPr="00F0151C" w:rsidRDefault="006F36F3" w:rsidP="0008209B">
      <w:pPr>
        <w:pStyle w:val="Akapitzlist"/>
        <w:numPr>
          <w:ilvl w:val="0"/>
          <w:numId w:val="24"/>
        </w:numPr>
        <w:ind w:left="686" w:hanging="336"/>
        <w:rPr>
          <w:rFonts w:ascii="Arial" w:hAnsi="Arial" w:cs="Arial"/>
          <w:bCs/>
          <w:color w:val="auto"/>
          <w:sz w:val="22"/>
          <w:szCs w:val="22"/>
          <w:lang w:val="pl-PL"/>
        </w:rPr>
      </w:pPr>
      <w:r w:rsidRPr="00F0151C">
        <w:rPr>
          <w:rFonts w:ascii="Arial" w:hAnsi="Arial" w:cs="Arial"/>
          <w:bCs/>
          <w:color w:val="auto"/>
          <w:sz w:val="22"/>
          <w:szCs w:val="22"/>
          <w:lang w:val="pl-PL"/>
        </w:rPr>
        <w:t>pozostałe wyposażenie o wartości jednostkowej od 500 zł do 2 500 zł.</w:t>
      </w:r>
    </w:p>
    <w:p w14:paraId="6FF87EA0" w14:textId="77777777" w:rsidR="006F36F3" w:rsidRPr="00F0151C" w:rsidRDefault="006F36F3" w:rsidP="0008209B">
      <w:pPr>
        <w:tabs>
          <w:tab w:val="left" w:pos="700"/>
        </w:tabs>
        <w:spacing w:after="0" w:line="360" w:lineRule="auto"/>
        <w:jc w:val="both"/>
        <w:rPr>
          <w:rFonts w:ascii="Arial" w:hAnsi="Arial" w:cs="Arial"/>
          <w:bCs/>
          <w:color w:val="auto"/>
        </w:rPr>
      </w:pPr>
      <w:r w:rsidRPr="00F0151C">
        <w:rPr>
          <w:rFonts w:ascii="Arial" w:hAnsi="Arial" w:cs="Arial"/>
          <w:bCs/>
          <w:color w:val="auto"/>
        </w:rPr>
        <w:t>oraz że uwzględniając zasadę istotności, wyposażenie pomieszczeń przymocowane do ścian, podłóg i sufitów (typu gaśnice, lampy, żaluzje, rolety, przepływowe podgrzewacze wody, suszarki itp.) w dacie ich nabycia ujmowane są bezpośrednio w kosztach jednostki i nie podlegają żadnej ewidencji.</w:t>
      </w:r>
    </w:p>
    <w:p w14:paraId="2B1EB9F6" w14:textId="04F81899" w:rsidR="006F36F3" w:rsidRPr="00F0151C" w:rsidRDefault="006F36F3" w:rsidP="006F36F3">
      <w:pPr>
        <w:tabs>
          <w:tab w:val="left" w:pos="426"/>
        </w:tabs>
        <w:spacing w:after="0" w:line="360" w:lineRule="auto"/>
        <w:jc w:val="both"/>
        <w:rPr>
          <w:rFonts w:ascii="Arial" w:hAnsi="Arial" w:cs="Arial"/>
          <w:bCs/>
          <w:color w:val="auto"/>
        </w:rPr>
      </w:pPr>
      <w:bookmarkStart w:id="2" w:name="_Hlk146875715"/>
      <w:r w:rsidRPr="00F0151C">
        <w:rPr>
          <w:rFonts w:ascii="Arial" w:hAnsi="Arial" w:cs="Arial"/>
          <w:bCs/>
          <w:color w:val="auto"/>
        </w:rPr>
        <w:t xml:space="preserve">Ponadto w piśmie wskazano, że dla rozliczenia zakupu materiałów, towarów, robót i usług, których dostawa i fakturowanie następuje w różnych okresach sprawozdawczych, w ewidencji księgowej stosuje się konto 300 </w:t>
      </w:r>
      <w:r w:rsidRPr="00F0151C">
        <w:rPr>
          <w:rFonts w:ascii="Arial" w:hAnsi="Arial" w:cs="Arial"/>
          <w:bCs/>
          <w:i/>
          <w:iCs/>
          <w:color w:val="auto"/>
        </w:rPr>
        <w:t>Rozliczenie zakupu</w:t>
      </w:r>
      <w:bookmarkEnd w:id="2"/>
      <w:r w:rsidRPr="00F0151C">
        <w:rPr>
          <w:rFonts w:ascii="Arial" w:hAnsi="Arial" w:cs="Arial"/>
          <w:bCs/>
          <w:color w:val="auto"/>
        </w:rPr>
        <w:t>. W zakładzie powyższa zasada nie została ujęta w polityce rachunkowości oraz nie jest stosowana, co opisano w dalszej części protokołu.</w:t>
      </w:r>
    </w:p>
    <w:p w14:paraId="54D0D354" w14:textId="77777777" w:rsidR="006F36F3" w:rsidRPr="00F0151C" w:rsidRDefault="006F36F3" w:rsidP="00384BC5">
      <w:pPr>
        <w:pStyle w:val="Akapitzlist"/>
        <w:numPr>
          <w:ilvl w:val="0"/>
          <w:numId w:val="23"/>
        </w:numPr>
        <w:tabs>
          <w:tab w:val="left" w:pos="426"/>
        </w:tabs>
        <w:ind w:left="0" w:firstLine="0"/>
        <w:rPr>
          <w:rFonts w:ascii="Arial" w:hAnsi="Arial" w:cs="Arial"/>
          <w:bCs/>
          <w:color w:val="auto"/>
          <w:spacing w:val="-2"/>
          <w:sz w:val="22"/>
          <w:szCs w:val="22"/>
          <w:lang w:val="pl-PL"/>
        </w:rPr>
      </w:pPr>
      <w:r w:rsidRPr="00F0151C">
        <w:rPr>
          <w:rFonts w:ascii="Arial" w:hAnsi="Arial" w:cs="Arial"/>
          <w:bCs/>
          <w:color w:val="auto"/>
          <w:spacing w:val="-2"/>
          <w:sz w:val="22"/>
          <w:szCs w:val="22"/>
          <w:lang w:val="pl-PL"/>
        </w:rPr>
        <w:t>Pisma z 22.10.2020 r. w zakresie kosztów ponoszonych „z góry” np. z tytułu ubezpieczenia mienia, czynszu za najem lokalu lub prenumeraty czasopism rozlicza się następująco:</w:t>
      </w:r>
    </w:p>
    <w:p w14:paraId="6A4829DC" w14:textId="6396024A" w:rsidR="006F36F3" w:rsidRPr="00F0151C" w:rsidRDefault="006F36F3" w:rsidP="00384BC5">
      <w:pPr>
        <w:pStyle w:val="Akapitzlist"/>
        <w:numPr>
          <w:ilvl w:val="0"/>
          <w:numId w:val="26"/>
        </w:numPr>
        <w:tabs>
          <w:tab w:val="left" w:pos="426"/>
        </w:tabs>
        <w:rPr>
          <w:rFonts w:ascii="Arial" w:hAnsi="Arial" w:cs="Arial"/>
          <w:bCs/>
          <w:color w:val="auto"/>
          <w:sz w:val="22"/>
          <w:szCs w:val="22"/>
          <w:lang w:val="pl-PL"/>
        </w:rPr>
      </w:pPr>
      <w:r w:rsidRPr="00F0151C">
        <w:rPr>
          <w:rFonts w:ascii="Arial" w:hAnsi="Arial" w:cs="Arial"/>
          <w:bCs/>
          <w:color w:val="auto"/>
          <w:sz w:val="22"/>
          <w:szCs w:val="22"/>
          <w:lang w:val="pl-PL"/>
        </w:rPr>
        <w:t>jeżeli dotyczą danego roku obrotowego i ich wartość jednostkowa nie przekracza 4 000 zł nie są rozliczan</w:t>
      </w:r>
      <w:r w:rsidR="00F3539B" w:rsidRPr="00F0151C">
        <w:rPr>
          <w:rFonts w:ascii="Arial" w:hAnsi="Arial" w:cs="Arial"/>
          <w:bCs/>
          <w:color w:val="auto"/>
          <w:sz w:val="22"/>
          <w:szCs w:val="22"/>
          <w:lang w:val="pl-PL"/>
        </w:rPr>
        <w:t>e</w:t>
      </w:r>
      <w:r w:rsidRPr="00F0151C">
        <w:rPr>
          <w:rFonts w:ascii="Arial" w:hAnsi="Arial" w:cs="Arial"/>
          <w:bCs/>
          <w:color w:val="auto"/>
          <w:sz w:val="22"/>
          <w:szCs w:val="22"/>
          <w:lang w:val="pl-PL"/>
        </w:rPr>
        <w:t xml:space="preserve"> w czasie (co miesięcznie),</w:t>
      </w:r>
    </w:p>
    <w:p w14:paraId="6D7ACFC9" w14:textId="77777777" w:rsidR="006F36F3" w:rsidRPr="00F0151C" w:rsidRDefault="006F36F3" w:rsidP="00384BC5">
      <w:pPr>
        <w:pStyle w:val="Akapitzlist"/>
        <w:numPr>
          <w:ilvl w:val="0"/>
          <w:numId w:val="26"/>
        </w:numPr>
        <w:tabs>
          <w:tab w:val="left" w:pos="426"/>
        </w:tabs>
        <w:rPr>
          <w:rFonts w:ascii="Arial" w:hAnsi="Arial" w:cs="Arial"/>
          <w:bCs/>
          <w:color w:val="auto"/>
          <w:sz w:val="22"/>
          <w:szCs w:val="22"/>
          <w:lang w:val="pl-PL"/>
        </w:rPr>
      </w:pPr>
      <w:r w:rsidRPr="00F0151C">
        <w:rPr>
          <w:rFonts w:ascii="Arial" w:hAnsi="Arial" w:cs="Arial"/>
          <w:bCs/>
          <w:color w:val="auto"/>
          <w:sz w:val="22"/>
          <w:szCs w:val="22"/>
          <w:lang w:val="pl-PL"/>
        </w:rPr>
        <w:t>jeżeli dotyczą okresu wykraczającego poza jeden rok obrotowy – wymagają rozliczenia na poszczególne lata bez względu na ich wartość jednostkową.</w:t>
      </w:r>
    </w:p>
    <w:p w14:paraId="40DEB627" w14:textId="3AFECE5C" w:rsidR="001B0BCA" w:rsidRPr="00F0151C" w:rsidRDefault="006F36F3" w:rsidP="002230CE">
      <w:pPr>
        <w:overflowPunct/>
        <w:spacing w:after="0" w:line="360" w:lineRule="auto"/>
        <w:jc w:val="both"/>
        <w:rPr>
          <w:rFonts w:ascii="Arial" w:hAnsi="Arial" w:cs="Arial"/>
          <w:bCs/>
          <w:color w:val="auto"/>
          <w:spacing w:val="-6"/>
        </w:rPr>
      </w:pPr>
      <w:r w:rsidRPr="00F0151C">
        <w:rPr>
          <w:rFonts w:ascii="Arial" w:hAnsi="Arial" w:cs="Arial"/>
          <w:bCs/>
          <w:color w:val="auto"/>
          <w:spacing w:val="-6"/>
        </w:rPr>
        <w:t>W zakładzie nie uszczegółowiono zapisów już ujętych w polityce rachunkowości</w:t>
      </w:r>
      <w:r w:rsidR="00C751EF" w:rsidRPr="00F0151C">
        <w:rPr>
          <w:rFonts w:ascii="Arial" w:hAnsi="Arial" w:cs="Arial"/>
          <w:bCs/>
          <w:color w:val="auto"/>
          <w:spacing w:val="-6"/>
        </w:rPr>
        <w:t xml:space="preserve"> w zakresie pkt. b.</w:t>
      </w:r>
      <w:r w:rsidRPr="00F0151C">
        <w:rPr>
          <w:rFonts w:ascii="Arial" w:hAnsi="Arial" w:cs="Arial"/>
          <w:bCs/>
          <w:color w:val="auto"/>
          <w:spacing w:val="-6"/>
        </w:rPr>
        <w:t xml:space="preserve"> </w:t>
      </w:r>
    </w:p>
    <w:p w14:paraId="2885DF0E" w14:textId="4AF48575" w:rsidR="00CA3FB9" w:rsidRPr="00F0151C" w:rsidRDefault="00786E1E" w:rsidP="00786E1E">
      <w:pPr>
        <w:overflowPunct/>
        <w:spacing w:after="0" w:line="360" w:lineRule="auto"/>
        <w:ind w:firstLine="426"/>
        <w:jc w:val="both"/>
        <w:rPr>
          <w:rFonts w:ascii="Arial" w:hAnsi="Arial" w:cs="Arial"/>
          <w:color w:val="auto"/>
        </w:rPr>
      </w:pPr>
      <w:r w:rsidRPr="00F0151C">
        <w:rPr>
          <w:rFonts w:ascii="Arial" w:hAnsi="Arial" w:cs="Arial"/>
          <w:color w:val="auto"/>
        </w:rPr>
        <w:t>Zgodnie z udzieloną informacją oraz zapisami polityki rachunkowości o</w:t>
      </w:r>
      <w:r w:rsidR="00CA3FB9" w:rsidRPr="00F0151C">
        <w:rPr>
          <w:rFonts w:ascii="Arial" w:hAnsi="Arial" w:cs="Arial"/>
          <w:color w:val="auto"/>
        </w:rPr>
        <w:t>peracje gospodarcze ujmowane są w poszczególnych agendach na najniższym  poziomie analityki dla danego konta syntetycznego ujętego w planie kont. Zgodność zapisów ksiąg pomocniczych z księgą główną następuje automatycznie (programowo). Agendy tworzone są na bieżąco według potrzeb z uwzględnieniem rodzaju operacji oraz rodzaju dokumentów źródłowych. Wykaz agend funkcjonujących w zakładzie stanowi załącznik</w:t>
      </w:r>
      <w:r w:rsidRPr="00F0151C">
        <w:rPr>
          <w:rFonts w:ascii="Arial" w:hAnsi="Arial" w:cs="Arial"/>
          <w:color w:val="auto"/>
        </w:rPr>
        <w:t xml:space="preserve"> </w:t>
      </w:r>
      <w:r w:rsidR="00CA3FB9" w:rsidRPr="00F0151C">
        <w:rPr>
          <w:rFonts w:ascii="Arial" w:hAnsi="Arial" w:cs="Arial"/>
          <w:color w:val="auto"/>
        </w:rPr>
        <w:t>nr 3 do polityki rachunkowości</w:t>
      </w:r>
    </w:p>
    <w:p w14:paraId="678282F7" w14:textId="2DA7BBAA" w:rsidR="008A6806" w:rsidRPr="00F0151C" w:rsidRDefault="00893845" w:rsidP="008A6806">
      <w:pPr>
        <w:pStyle w:val="Domylnie"/>
        <w:ind w:firstLine="426"/>
        <w:rPr>
          <w:rFonts w:ascii="Arial" w:hAnsi="Arial" w:cs="Arial"/>
          <w:color w:val="auto"/>
          <w:sz w:val="22"/>
          <w:szCs w:val="22"/>
          <w:lang w:val="pl-PL"/>
        </w:rPr>
      </w:pPr>
      <w:r w:rsidRPr="00F0151C">
        <w:rPr>
          <w:rFonts w:ascii="Arial" w:hAnsi="Arial" w:cs="Arial"/>
          <w:color w:val="auto"/>
          <w:sz w:val="22"/>
          <w:szCs w:val="22"/>
          <w:lang w:val="pl-PL"/>
        </w:rPr>
        <w:lastRenderedPageBreak/>
        <w:t>Przychody osiągnięte przez zakład budżetowy w kontrolowanym okresie zgodnie ze sprawozdaniami budżetowymi Rb-30S przedstawiają się następująco:</w:t>
      </w:r>
    </w:p>
    <w:tbl>
      <w:tblPr>
        <w:tblStyle w:val="Tabela-Siatka"/>
        <w:tblW w:w="9007" w:type="dxa"/>
        <w:tblLayout w:type="fixed"/>
        <w:tblLook w:val="04A0" w:firstRow="1" w:lastRow="0" w:firstColumn="1" w:lastColumn="0" w:noHBand="0" w:noVBand="1"/>
      </w:tblPr>
      <w:tblGrid>
        <w:gridCol w:w="954"/>
        <w:gridCol w:w="866"/>
        <w:gridCol w:w="4271"/>
        <w:gridCol w:w="1458"/>
        <w:gridCol w:w="1458"/>
      </w:tblGrid>
      <w:tr w:rsidR="00F0151C" w:rsidRPr="00F0151C" w14:paraId="0DFD752F" w14:textId="77777777" w:rsidTr="008029FC">
        <w:trPr>
          <w:trHeight w:val="227"/>
        </w:trPr>
        <w:tc>
          <w:tcPr>
            <w:tcW w:w="6091" w:type="dxa"/>
            <w:gridSpan w:val="3"/>
            <w:shd w:val="clear" w:color="auto" w:fill="D9D9D9" w:themeFill="background1" w:themeFillShade="D9"/>
            <w:vAlign w:val="center"/>
          </w:tcPr>
          <w:p w14:paraId="1FEBD458" w14:textId="5809A66C" w:rsidR="008854CA" w:rsidRPr="00F0151C" w:rsidRDefault="008854CA" w:rsidP="008854CA">
            <w:pPr>
              <w:pStyle w:val="Domylnie"/>
              <w:spacing w:line="240" w:lineRule="auto"/>
              <w:jc w:val="center"/>
              <w:rPr>
                <w:rFonts w:ascii="Arial" w:hAnsi="Arial" w:cs="Arial"/>
                <w:b/>
                <w:bCs/>
                <w:color w:val="auto"/>
                <w:sz w:val="18"/>
                <w:szCs w:val="18"/>
                <w:lang w:val="pl-PL"/>
              </w:rPr>
            </w:pPr>
            <w:bookmarkStart w:id="3" w:name="_Hlk146806125"/>
            <w:r w:rsidRPr="00F0151C">
              <w:rPr>
                <w:rFonts w:ascii="Arial" w:hAnsi="Arial" w:cs="Arial"/>
                <w:b/>
                <w:bCs/>
                <w:color w:val="auto"/>
                <w:sz w:val="18"/>
                <w:szCs w:val="18"/>
                <w:lang w:val="pl-PL"/>
              </w:rPr>
              <w:t>KLASYFIKACJA BUDŻETOWA</w:t>
            </w:r>
          </w:p>
        </w:tc>
        <w:tc>
          <w:tcPr>
            <w:tcW w:w="2916" w:type="dxa"/>
            <w:gridSpan w:val="2"/>
            <w:shd w:val="clear" w:color="auto" w:fill="D9D9D9" w:themeFill="background1" w:themeFillShade="D9"/>
            <w:vAlign w:val="center"/>
          </w:tcPr>
          <w:p w14:paraId="23BC6863" w14:textId="4B4CA5E2" w:rsidR="008854CA" w:rsidRPr="00F0151C" w:rsidRDefault="008854CA" w:rsidP="008854CA">
            <w:pPr>
              <w:pStyle w:val="Domylnie"/>
              <w:spacing w:line="240" w:lineRule="auto"/>
              <w:jc w:val="center"/>
              <w:rPr>
                <w:rFonts w:ascii="Arial" w:hAnsi="Arial" w:cs="Arial"/>
                <w:b/>
                <w:bCs/>
                <w:color w:val="auto"/>
                <w:sz w:val="18"/>
                <w:szCs w:val="18"/>
                <w:lang w:val="pl-PL"/>
              </w:rPr>
            </w:pPr>
            <w:r w:rsidRPr="00F0151C">
              <w:rPr>
                <w:rFonts w:ascii="Arial" w:hAnsi="Arial" w:cs="Arial"/>
                <w:b/>
                <w:bCs/>
                <w:color w:val="auto"/>
                <w:sz w:val="18"/>
                <w:szCs w:val="18"/>
                <w:lang w:val="pl-PL"/>
              </w:rPr>
              <w:t>WYKONANIE</w:t>
            </w:r>
          </w:p>
        </w:tc>
      </w:tr>
      <w:tr w:rsidR="00F0151C" w:rsidRPr="00F0151C" w14:paraId="0D1AD5F6" w14:textId="77777777" w:rsidTr="008029FC">
        <w:trPr>
          <w:trHeight w:val="227"/>
        </w:trPr>
        <w:tc>
          <w:tcPr>
            <w:tcW w:w="954" w:type="dxa"/>
            <w:shd w:val="clear" w:color="auto" w:fill="D9D9D9" w:themeFill="background1" w:themeFillShade="D9"/>
            <w:vAlign w:val="center"/>
          </w:tcPr>
          <w:p w14:paraId="4F855009" w14:textId="181F7A88" w:rsidR="008A6806" w:rsidRPr="00F0151C" w:rsidRDefault="008A6806" w:rsidP="008A6806">
            <w:pPr>
              <w:pStyle w:val="Domylnie"/>
              <w:spacing w:line="240" w:lineRule="auto"/>
              <w:rPr>
                <w:rFonts w:ascii="Arial" w:hAnsi="Arial" w:cs="Arial"/>
                <w:b/>
                <w:bCs/>
                <w:color w:val="auto"/>
                <w:sz w:val="16"/>
                <w:szCs w:val="16"/>
                <w:lang w:val="pl-PL"/>
              </w:rPr>
            </w:pPr>
            <w:r w:rsidRPr="00F0151C">
              <w:rPr>
                <w:rFonts w:ascii="Arial" w:hAnsi="Arial" w:cs="Arial"/>
                <w:b/>
                <w:bCs/>
                <w:color w:val="auto"/>
                <w:sz w:val="16"/>
                <w:szCs w:val="16"/>
                <w:lang w:val="pl-PL"/>
              </w:rPr>
              <w:t>Rozdział</w:t>
            </w:r>
          </w:p>
        </w:tc>
        <w:tc>
          <w:tcPr>
            <w:tcW w:w="866" w:type="dxa"/>
            <w:shd w:val="clear" w:color="auto" w:fill="D9D9D9" w:themeFill="background1" w:themeFillShade="D9"/>
            <w:vAlign w:val="center"/>
          </w:tcPr>
          <w:p w14:paraId="485C3971" w14:textId="4327041F" w:rsidR="008A6806" w:rsidRPr="00F0151C" w:rsidRDefault="008A6806" w:rsidP="008A6806">
            <w:pPr>
              <w:pStyle w:val="Domylnie"/>
              <w:spacing w:line="240" w:lineRule="auto"/>
              <w:rPr>
                <w:rFonts w:ascii="Arial" w:hAnsi="Arial" w:cs="Arial"/>
                <w:b/>
                <w:bCs/>
                <w:color w:val="auto"/>
                <w:sz w:val="16"/>
                <w:szCs w:val="16"/>
                <w:lang w:val="pl-PL"/>
              </w:rPr>
            </w:pPr>
            <w:r w:rsidRPr="00F0151C">
              <w:rPr>
                <w:rFonts w:ascii="Arial" w:hAnsi="Arial" w:cs="Arial"/>
                <w:b/>
                <w:bCs/>
                <w:color w:val="auto"/>
                <w:sz w:val="16"/>
                <w:szCs w:val="16"/>
                <w:lang w:val="pl-PL"/>
              </w:rPr>
              <w:t>Paragraf</w:t>
            </w:r>
          </w:p>
        </w:tc>
        <w:tc>
          <w:tcPr>
            <w:tcW w:w="4271" w:type="dxa"/>
            <w:shd w:val="clear" w:color="auto" w:fill="D9D9D9" w:themeFill="background1" w:themeFillShade="D9"/>
            <w:vAlign w:val="center"/>
          </w:tcPr>
          <w:p w14:paraId="15148B88" w14:textId="58755E78" w:rsidR="008A6806" w:rsidRPr="00F0151C" w:rsidRDefault="008A6806" w:rsidP="008854CA">
            <w:pPr>
              <w:pStyle w:val="Domylnie"/>
              <w:spacing w:line="240" w:lineRule="auto"/>
              <w:jc w:val="center"/>
              <w:rPr>
                <w:rFonts w:ascii="Arial" w:hAnsi="Arial" w:cs="Arial"/>
                <w:b/>
                <w:bCs/>
                <w:color w:val="auto"/>
                <w:sz w:val="18"/>
                <w:szCs w:val="18"/>
                <w:lang w:val="pl-PL"/>
              </w:rPr>
            </w:pPr>
            <w:r w:rsidRPr="00F0151C">
              <w:rPr>
                <w:rFonts w:ascii="Arial" w:hAnsi="Arial" w:cs="Arial"/>
                <w:b/>
                <w:bCs/>
                <w:color w:val="auto"/>
                <w:sz w:val="18"/>
                <w:szCs w:val="18"/>
                <w:lang w:val="pl-PL"/>
              </w:rPr>
              <w:t>Nazwa paragrafu</w:t>
            </w:r>
          </w:p>
        </w:tc>
        <w:tc>
          <w:tcPr>
            <w:tcW w:w="1458" w:type="dxa"/>
            <w:shd w:val="clear" w:color="auto" w:fill="D9D9D9" w:themeFill="background1" w:themeFillShade="D9"/>
            <w:vAlign w:val="center"/>
          </w:tcPr>
          <w:p w14:paraId="50398DF6" w14:textId="7FEF57CB" w:rsidR="008A6806" w:rsidRPr="00F0151C" w:rsidRDefault="008A6806" w:rsidP="008854CA">
            <w:pPr>
              <w:pStyle w:val="Domylnie"/>
              <w:spacing w:line="240" w:lineRule="auto"/>
              <w:jc w:val="center"/>
              <w:rPr>
                <w:rFonts w:ascii="Arial" w:hAnsi="Arial" w:cs="Arial"/>
                <w:b/>
                <w:bCs/>
                <w:color w:val="auto"/>
                <w:sz w:val="18"/>
                <w:szCs w:val="18"/>
                <w:lang w:val="pl-PL"/>
              </w:rPr>
            </w:pPr>
            <w:r w:rsidRPr="00F0151C">
              <w:rPr>
                <w:rFonts w:ascii="Arial" w:hAnsi="Arial" w:cs="Arial"/>
                <w:b/>
                <w:bCs/>
                <w:color w:val="auto"/>
                <w:sz w:val="18"/>
                <w:szCs w:val="18"/>
                <w:lang w:val="pl-PL"/>
              </w:rPr>
              <w:t>2022 r.</w:t>
            </w:r>
          </w:p>
        </w:tc>
        <w:tc>
          <w:tcPr>
            <w:tcW w:w="1458" w:type="dxa"/>
            <w:shd w:val="clear" w:color="auto" w:fill="D9D9D9" w:themeFill="background1" w:themeFillShade="D9"/>
            <w:vAlign w:val="center"/>
          </w:tcPr>
          <w:p w14:paraId="4B0800FD" w14:textId="25B008C2" w:rsidR="008A6806" w:rsidRPr="00F0151C" w:rsidRDefault="008A6806" w:rsidP="008854CA">
            <w:pPr>
              <w:pStyle w:val="Domylnie"/>
              <w:spacing w:line="240" w:lineRule="auto"/>
              <w:jc w:val="center"/>
              <w:rPr>
                <w:rFonts w:ascii="Arial" w:hAnsi="Arial" w:cs="Arial"/>
                <w:b/>
                <w:bCs/>
                <w:color w:val="auto"/>
                <w:spacing w:val="-6"/>
                <w:sz w:val="18"/>
                <w:szCs w:val="18"/>
                <w:lang w:val="pl-PL"/>
              </w:rPr>
            </w:pPr>
            <w:r w:rsidRPr="00F0151C">
              <w:rPr>
                <w:rFonts w:ascii="Arial" w:hAnsi="Arial" w:cs="Arial"/>
                <w:b/>
                <w:bCs/>
                <w:color w:val="auto"/>
                <w:spacing w:val="-6"/>
                <w:sz w:val="18"/>
                <w:szCs w:val="18"/>
                <w:lang w:val="pl-PL"/>
              </w:rPr>
              <w:t>I kwartał 2023 r.</w:t>
            </w:r>
          </w:p>
        </w:tc>
      </w:tr>
      <w:tr w:rsidR="00F0151C" w:rsidRPr="00F0151C" w14:paraId="39F44B45" w14:textId="77777777" w:rsidTr="008029FC">
        <w:trPr>
          <w:trHeight w:val="227"/>
        </w:trPr>
        <w:tc>
          <w:tcPr>
            <w:tcW w:w="954" w:type="dxa"/>
            <w:vMerge w:val="restart"/>
            <w:textDirection w:val="btLr"/>
            <w:vAlign w:val="center"/>
          </w:tcPr>
          <w:p w14:paraId="598EEEFF" w14:textId="02C5D593" w:rsidR="008854CA" w:rsidRPr="00F0151C" w:rsidRDefault="008854CA" w:rsidP="008854CA">
            <w:pPr>
              <w:pStyle w:val="Domylnie"/>
              <w:spacing w:line="240" w:lineRule="auto"/>
              <w:ind w:left="113" w:right="113"/>
              <w:jc w:val="center"/>
              <w:rPr>
                <w:rFonts w:ascii="Arial" w:hAnsi="Arial" w:cs="Arial"/>
                <w:color w:val="auto"/>
                <w:sz w:val="18"/>
                <w:szCs w:val="18"/>
                <w:lang w:val="pl-PL"/>
              </w:rPr>
            </w:pPr>
            <w:r w:rsidRPr="00F0151C">
              <w:rPr>
                <w:rFonts w:ascii="Arial" w:hAnsi="Arial" w:cs="Arial"/>
                <w:color w:val="auto"/>
                <w:sz w:val="18"/>
                <w:szCs w:val="18"/>
                <w:lang w:val="pl-PL"/>
              </w:rPr>
              <w:t>70005 - Gospodarka gruntami i nieruchomościami</w:t>
            </w:r>
          </w:p>
        </w:tc>
        <w:tc>
          <w:tcPr>
            <w:tcW w:w="866" w:type="dxa"/>
            <w:vAlign w:val="center"/>
          </w:tcPr>
          <w:p w14:paraId="5B73820E" w14:textId="433F8337"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0630</w:t>
            </w:r>
          </w:p>
        </w:tc>
        <w:tc>
          <w:tcPr>
            <w:tcW w:w="4271" w:type="dxa"/>
            <w:vAlign w:val="center"/>
          </w:tcPr>
          <w:p w14:paraId="79512F9F" w14:textId="4E4A5218"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tytułu opłat i kosztów sądowych oraz innych opłat uiszczanych na rzecz Skarbu Państwa z tytułu postępowania sądowego i prokuratorskiego</w:t>
            </w:r>
          </w:p>
        </w:tc>
        <w:tc>
          <w:tcPr>
            <w:tcW w:w="1458" w:type="dxa"/>
            <w:vAlign w:val="center"/>
          </w:tcPr>
          <w:p w14:paraId="3A9CCD1D" w14:textId="514ABFB3"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13 038,71</w:t>
            </w:r>
          </w:p>
        </w:tc>
        <w:tc>
          <w:tcPr>
            <w:tcW w:w="1458" w:type="dxa"/>
            <w:vAlign w:val="center"/>
          </w:tcPr>
          <w:p w14:paraId="2C75B02C" w14:textId="77920EA4"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637,50</w:t>
            </w:r>
          </w:p>
        </w:tc>
      </w:tr>
      <w:tr w:rsidR="00F0151C" w:rsidRPr="00F0151C" w14:paraId="2365175D" w14:textId="77777777" w:rsidTr="008029FC">
        <w:trPr>
          <w:trHeight w:val="227"/>
        </w:trPr>
        <w:tc>
          <w:tcPr>
            <w:tcW w:w="954" w:type="dxa"/>
            <w:vMerge/>
            <w:vAlign w:val="center"/>
          </w:tcPr>
          <w:p w14:paraId="6BF87440" w14:textId="6ECB96DE"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3590A174" w14:textId="7699AD51"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0640</w:t>
            </w:r>
          </w:p>
        </w:tc>
        <w:tc>
          <w:tcPr>
            <w:tcW w:w="4271" w:type="dxa"/>
            <w:vAlign w:val="center"/>
          </w:tcPr>
          <w:p w14:paraId="088EAFB1" w14:textId="1BF143BE"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tytułu kosztów egzekucyjnych, opłaty komorniczej i kosztów upomnień</w:t>
            </w:r>
          </w:p>
        </w:tc>
        <w:tc>
          <w:tcPr>
            <w:tcW w:w="1458" w:type="dxa"/>
            <w:vAlign w:val="center"/>
          </w:tcPr>
          <w:p w14:paraId="64F6D6E4" w14:textId="785310B9"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2 323,18</w:t>
            </w:r>
          </w:p>
        </w:tc>
        <w:tc>
          <w:tcPr>
            <w:tcW w:w="1458" w:type="dxa"/>
            <w:vAlign w:val="center"/>
          </w:tcPr>
          <w:p w14:paraId="6C9ECE81" w14:textId="196506A1"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153,28</w:t>
            </w:r>
          </w:p>
        </w:tc>
      </w:tr>
      <w:tr w:rsidR="00F0151C" w:rsidRPr="00F0151C" w14:paraId="6C8D154D" w14:textId="77777777" w:rsidTr="008029FC">
        <w:trPr>
          <w:trHeight w:val="227"/>
        </w:trPr>
        <w:tc>
          <w:tcPr>
            <w:tcW w:w="954" w:type="dxa"/>
            <w:vMerge/>
            <w:vAlign w:val="center"/>
          </w:tcPr>
          <w:p w14:paraId="1CC396CE" w14:textId="73A365AF"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167D1470" w14:textId="55BD9418"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0750</w:t>
            </w:r>
          </w:p>
        </w:tc>
        <w:tc>
          <w:tcPr>
            <w:tcW w:w="4271" w:type="dxa"/>
            <w:vAlign w:val="center"/>
          </w:tcPr>
          <w:p w14:paraId="5785B79F" w14:textId="18D7CC24"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najmu i dzierżawy składników majątkowych Skarbu Państwa, jednostek samorządu terytorialnego (…)</w:t>
            </w:r>
          </w:p>
        </w:tc>
        <w:tc>
          <w:tcPr>
            <w:tcW w:w="1458" w:type="dxa"/>
            <w:vAlign w:val="center"/>
          </w:tcPr>
          <w:p w14:paraId="3FE22BAC" w14:textId="7303D0CE"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5 415 201,20</w:t>
            </w:r>
          </w:p>
        </w:tc>
        <w:tc>
          <w:tcPr>
            <w:tcW w:w="1458" w:type="dxa"/>
            <w:vAlign w:val="center"/>
          </w:tcPr>
          <w:p w14:paraId="62B24850" w14:textId="02690185"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1 368 214,69</w:t>
            </w:r>
          </w:p>
        </w:tc>
      </w:tr>
      <w:tr w:rsidR="00F0151C" w:rsidRPr="00F0151C" w14:paraId="21E03290" w14:textId="77777777" w:rsidTr="008029FC">
        <w:trPr>
          <w:trHeight w:val="227"/>
        </w:trPr>
        <w:tc>
          <w:tcPr>
            <w:tcW w:w="954" w:type="dxa"/>
            <w:vMerge/>
            <w:vAlign w:val="center"/>
          </w:tcPr>
          <w:p w14:paraId="7B772EEB" w14:textId="01C661FD"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264FE8A1" w14:textId="64E73163"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0830</w:t>
            </w:r>
          </w:p>
        </w:tc>
        <w:tc>
          <w:tcPr>
            <w:tcW w:w="4271" w:type="dxa"/>
            <w:vAlign w:val="center"/>
          </w:tcPr>
          <w:p w14:paraId="629C3AAF" w14:textId="4C9D22E4"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usług</w:t>
            </w:r>
          </w:p>
        </w:tc>
        <w:tc>
          <w:tcPr>
            <w:tcW w:w="1458" w:type="dxa"/>
            <w:vAlign w:val="center"/>
          </w:tcPr>
          <w:p w14:paraId="1E842F62" w14:textId="1884C887"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2 635 414,54</w:t>
            </w:r>
          </w:p>
        </w:tc>
        <w:tc>
          <w:tcPr>
            <w:tcW w:w="1458" w:type="dxa"/>
            <w:vAlign w:val="center"/>
          </w:tcPr>
          <w:p w14:paraId="501A73FB" w14:textId="65966D37"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851 558,03</w:t>
            </w:r>
          </w:p>
        </w:tc>
      </w:tr>
      <w:tr w:rsidR="00F0151C" w:rsidRPr="00F0151C" w14:paraId="343141E3" w14:textId="77777777" w:rsidTr="008029FC">
        <w:trPr>
          <w:trHeight w:val="227"/>
        </w:trPr>
        <w:tc>
          <w:tcPr>
            <w:tcW w:w="954" w:type="dxa"/>
            <w:vMerge/>
            <w:vAlign w:val="center"/>
          </w:tcPr>
          <w:p w14:paraId="1934DE63" w14:textId="608CBD42"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1C44379C" w14:textId="145E9203"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0920</w:t>
            </w:r>
          </w:p>
        </w:tc>
        <w:tc>
          <w:tcPr>
            <w:tcW w:w="4271" w:type="dxa"/>
            <w:vAlign w:val="center"/>
          </w:tcPr>
          <w:p w14:paraId="001625A1" w14:textId="02BF2E80"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pozostałych odsetek</w:t>
            </w:r>
          </w:p>
        </w:tc>
        <w:tc>
          <w:tcPr>
            <w:tcW w:w="1458" w:type="dxa"/>
            <w:vAlign w:val="center"/>
          </w:tcPr>
          <w:p w14:paraId="6CAE4FAD" w14:textId="371F4D99"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28 087,44</w:t>
            </w:r>
          </w:p>
        </w:tc>
        <w:tc>
          <w:tcPr>
            <w:tcW w:w="1458" w:type="dxa"/>
            <w:vAlign w:val="center"/>
          </w:tcPr>
          <w:p w14:paraId="763396E8" w14:textId="6C25DDA9"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4 866,99</w:t>
            </w:r>
          </w:p>
        </w:tc>
      </w:tr>
      <w:tr w:rsidR="00F0151C" w:rsidRPr="00F0151C" w14:paraId="14D38807" w14:textId="77777777" w:rsidTr="008029FC">
        <w:trPr>
          <w:trHeight w:val="227"/>
        </w:trPr>
        <w:tc>
          <w:tcPr>
            <w:tcW w:w="954" w:type="dxa"/>
            <w:vMerge/>
            <w:vAlign w:val="center"/>
          </w:tcPr>
          <w:p w14:paraId="60B961D4" w14:textId="71386EEC"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42EADCFB" w14:textId="0B1437EA"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0950</w:t>
            </w:r>
          </w:p>
        </w:tc>
        <w:tc>
          <w:tcPr>
            <w:tcW w:w="4271" w:type="dxa"/>
            <w:vAlign w:val="center"/>
          </w:tcPr>
          <w:p w14:paraId="472C504A" w14:textId="31E55922"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tytułu kar i odszkodowań wynikających z umów</w:t>
            </w:r>
          </w:p>
        </w:tc>
        <w:tc>
          <w:tcPr>
            <w:tcW w:w="1458" w:type="dxa"/>
            <w:vAlign w:val="center"/>
          </w:tcPr>
          <w:p w14:paraId="0A110F30" w14:textId="1CC2596B"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64 123,16</w:t>
            </w:r>
          </w:p>
        </w:tc>
        <w:tc>
          <w:tcPr>
            <w:tcW w:w="1458" w:type="dxa"/>
            <w:vAlign w:val="center"/>
          </w:tcPr>
          <w:p w14:paraId="4B8051EB" w14:textId="172F8A86"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126 267,08</w:t>
            </w:r>
          </w:p>
        </w:tc>
      </w:tr>
      <w:tr w:rsidR="00F0151C" w:rsidRPr="00F0151C" w14:paraId="0EF8F9A6" w14:textId="77777777" w:rsidTr="008029FC">
        <w:trPr>
          <w:trHeight w:val="227"/>
        </w:trPr>
        <w:tc>
          <w:tcPr>
            <w:tcW w:w="954" w:type="dxa"/>
            <w:vMerge/>
            <w:vAlign w:val="center"/>
          </w:tcPr>
          <w:p w14:paraId="12163E5A" w14:textId="779D26D0"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7A62B2F2" w14:textId="21B1AFAD"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0970</w:t>
            </w:r>
          </w:p>
        </w:tc>
        <w:tc>
          <w:tcPr>
            <w:tcW w:w="4271" w:type="dxa"/>
            <w:vAlign w:val="center"/>
          </w:tcPr>
          <w:p w14:paraId="3777ED38" w14:textId="37CBF8EF"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różnych dochodów</w:t>
            </w:r>
          </w:p>
        </w:tc>
        <w:tc>
          <w:tcPr>
            <w:tcW w:w="1458" w:type="dxa"/>
            <w:vAlign w:val="center"/>
          </w:tcPr>
          <w:p w14:paraId="0ED44833" w14:textId="068A1C02"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84 624,30</w:t>
            </w:r>
          </w:p>
        </w:tc>
        <w:tc>
          <w:tcPr>
            <w:tcW w:w="1458" w:type="dxa"/>
            <w:vAlign w:val="center"/>
          </w:tcPr>
          <w:p w14:paraId="00E2919E" w14:textId="1B4A1119"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1 086,87</w:t>
            </w:r>
          </w:p>
        </w:tc>
      </w:tr>
      <w:tr w:rsidR="00F0151C" w:rsidRPr="00F0151C" w14:paraId="7B925AC5" w14:textId="77777777" w:rsidTr="008029FC">
        <w:trPr>
          <w:trHeight w:val="227"/>
        </w:trPr>
        <w:tc>
          <w:tcPr>
            <w:tcW w:w="954" w:type="dxa"/>
            <w:vMerge w:val="restart"/>
            <w:textDirection w:val="btLr"/>
            <w:vAlign w:val="center"/>
          </w:tcPr>
          <w:p w14:paraId="008DFEF8" w14:textId="6A0C142F" w:rsidR="008854CA" w:rsidRPr="00F0151C" w:rsidRDefault="008854CA" w:rsidP="008854CA">
            <w:pPr>
              <w:pStyle w:val="Domylnie"/>
              <w:spacing w:line="240" w:lineRule="auto"/>
              <w:ind w:left="113" w:right="113"/>
              <w:jc w:val="center"/>
              <w:rPr>
                <w:rFonts w:ascii="Arial" w:hAnsi="Arial" w:cs="Arial"/>
                <w:color w:val="auto"/>
                <w:sz w:val="18"/>
                <w:szCs w:val="18"/>
                <w:lang w:val="pl-PL"/>
              </w:rPr>
            </w:pPr>
            <w:r w:rsidRPr="00F0151C">
              <w:rPr>
                <w:rFonts w:ascii="Arial" w:hAnsi="Arial" w:cs="Arial"/>
                <w:color w:val="auto"/>
                <w:sz w:val="18"/>
                <w:szCs w:val="18"/>
                <w:lang w:val="pl-PL"/>
              </w:rPr>
              <w:t>70007 - Gospodarowanie mieszkaniowym zasobem gminy</w:t>
            </w:r>
          </w:p>
        </w:tc>
        <w:tc>
          <w:tcPr>
            <w:tcW w:w="866" w:type="dxa"/>
            <w:vAlign w:val="center"/>
          </w:tcPr>
          <w:p w14:paraId="627B2EC5" w14:textId="5A1052BE"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0630</w:t>
            </w:r>
          </w:p>
        </w:tc>
        <w:tc>
          <w:tcPr>
            <w:tcW w:w="4271" w:type="dxa"/>
            <w:vAlign w:val="center"/>
          </w:tcPr>
          <w:p w14:paraId="2ABE2661" w14:textId="503F9957" w:rsidR="008854CA" w:rsidRPr="00F0151C" w:rsidRDefault="008854CA" w:rsidP="008A6806">
            <w:pPr>
              <w:pStyle w:val="Domylnie"/>
              <w:spacing w:line="240" w:lineRule="auto"/>
              <w:rPr>
                <w:rFonts w:ascii="Arial" w:hAnsi="Arial" w:cs="Arial"/>
                <w:color w:val="auto"/>
                <w:spacing w:val="-4"/>
                <w:sz w:val="18"/>
                <w:szCs w:val="18"/>
                <w:lang w:val="pl-PL"/>
              </w:rPr>
            </w:pPr>
            <w:r w:rsidRPr="00F0151C">
              <w:rPr>
                <w:rFonts w:ascii="Arial" w:hAnsi="Arial" w:cs="Arial"/>
                <w:color w:val="auto"/>
                <w:spacing w:val="-4"/>
                <w:sz w:val="18"/>
                <w:szCs w:val="18"/>
                <w:lang w:val="pl-PL"/>
              </w:rPr>
              <w:t>Wpływy z tytułu opłat i kosztów sądowych (…)</w:t>
            </w:r>
          </w:p>
        </w:tc>
        <w:tc>
          <w:tcPr>
            <w:tcW w:w="1458" w:type="dxa"/>
            <w:vAlign w:val="center"/>
          </w:tcPr>
          <w:p w14:paraId="5BD326A9" w14:textId="6A71288F"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292 039,10</w:t>
            </w:r>
          </w:p>
        </w:tc>
        <w:tc>
          <w:tcPr>
            <w:tcW w:w="1458" w:type="dxa"/>
            <w:vAlign w:val="center"/>
          </w:tcPr>
          <w:p w14:paraId="4E7F0FEA" w14:textId="1F092910"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58 186,76</w:t>
            </w:r>
          </w:p>
        </w:tc>
      </w:tr>
      <w:tr w:rsidR="00F0151C" w:rsidRPr="00F0151C" w14:paraId="717C979E" w14:textId="77777777" w:rsidTr="008029FC">
        <w:trPr>
          <w:trHeight w:val="227"/>
        </w:trPr>
        <w:tc>
          <w:tcPr>
            <w:tcW w:w="954" w:type="dxa"/>
            <w:vMerge/>
            <w:vAlign w:val="center"/>
          </w:tcPr>
          <w:p w14:paraId="13F004B2" w14:textId="1325E2FD"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79F0E991" w14:textId="6AB24DEE"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0640</w:t>
            </w:r>
          </w:p>
        </w:tc>
        <w:tc>
          <w:tcPr>
            <w:tcW w:w="4271" w:type="dxa"/>
            <w:vAlign w:val="center"/>
          </w:tcPr>
          <w:p w14:paraId="2A3D55C4" w14:textId="51A8C799"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tytułu kosztów egzekucyjnych, opłaty komorniczej i kosztów upomnień</w:t>
            </w:r>
          </w:p>
        </w:tc>
        <w:tc>
          <w:tcPr>
            <w:tcW w:w="1458" w:type="dxa"/>
            <w:vAlign w:val="center"/>
          </w:tcPr>
          <w:p w14:paraId="0E0FFDDF" w14:textId="062E7460"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153 898,19</w:t>
            </w:r>
          </w:p>
        </w:tc>
        <w:tc>
          <w:tcPr>
            <w:tcW w:w="1458" w:type="dxa"/>
            <w:vAlign w:val="center"/>
          </w:tcPr>
          <w:p w14:paraId="168B1A4C" w14:textId="538DF7BC"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31 338,67</w:t>
            </w:r>
          </w:p>
        </w:tc>
      </w:tr>
      <w:tr w:rsidR="00F0151C" w:rsidRPr="00F0151C" w14:paraId="7685E95B" w14:textId="77777777" w:rsidTr="008029FC">
        <w:trPr>
          <w:trHeight w:val="227"/>
        </w:trPr>
        <w:tc>
          <w:tcPr>
            <w:tcW w:w="954" w:type="dxa"/>
            <w:vMerge/>
            <w:vAlign w:val="center"/>
          </w:tcPr>
          <w:p w14:paraId="53D18993" w14:textId="45244958"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2897ABF0" w14:textId="271EA8D6"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0750</w:t>
            </w:r>
          </w:p>
        </w:tc>
        <w:tc>
          <w:tcPr>
            <w:tcW w:w="4271" w:type="dxa"/>
            <w:vAlign w:val="center"/>
          </w:tcPr>
          <w:p w14:paraId="5DABE05D" w14:textId="3B30F500"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najmu i dzierżawy (…)</w:t>
            </w:r>
          </w:p>
        </w:tc>
        <w:tc>
          <w:tcPr>
            <w:tcW w:w="1458" w:type="dxa"/>
            <w:vAlign w:val="center"/>
          </w:tcPr>
          <w:p w14:paraId="25CB493F" w14:textId="5F7C9D06"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15 822 101,88</w:t>
            </w:r>
          </w:p>
        </w:tc>
        <w:tc>
          <w:tcPr>
            <w:tcW w:w="1458" w:type="dxa"/>
            <w:vAlign w:val="center"/>
          </w:tcPr>
          <w:p w14:paraId="02C5BA3A" w14:textId="63E085E1"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4 243 719,67</w:t>
            </w:r>
          </w:p>
        </w:tc>
      </w:tr>
      <w:tr w:rsidR="00F0151C" w:rsidRPr="00F0151C" w14:paraId="1F17E800" w14:textId="77777777" w:rsidTr="008029FC">
        <w:trPr>
          <w:trHeight w:val="227"/>
        </w:trPr>
        <w:tc>
          <w:tcPr>
            <w:tcW w:w="954" w:type="dxa"/>
            <w:vMerge/>
            <w:vAlign w:val="center"/>
          </w:tcPr>
          <w:p w14:paraId="1F725701" w14:textId="04BE8BB1"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008086D3" w14:textId="7A54D058"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0830</w:t>
            </w:r>
          </w:p>
        </w:tc>
        <w:tc>
          <w:tcPr>
            <w:tcW w:w="4271" w:type="dxa"/>
            <w:vAlign w:val="center"/>
          </w:tcPr>
          <w:p w14:paraId="5DC10EBD" w14:textId="7AD82FD9"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usług</w:t>
            </w:r>
          </w:p>
        </w:tc>
        <w:tc>
          <w:tcPr>
            <w:tcW w:w="1458" w:type="dxa"/>
            <w:vAlign w:val="center"/>
          </w:tcPr>
          <w:p w14:paraId="525F4A71" w14:textId="26F3C773"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25 649 454,55</w:t>
            </w:r>
          </w:p>
        </w:tc>
        <w:tc>
          <w:tcPr>
            <w:tcW w:w="1458" w:type="dxa"/>
            <w:vAlign w:val="center"/>
          </w:tcPr>
          <w:p w14:paraId="2CB7B7EE" w14:textId="2850579B"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7 709 380,65</w:t>
            </w:r>
          </w:p>
        </w:tc>
      </w:tr>
      <w:tr w:rsidR="00F0151C" w:rsidRPr="00F0151C" w14:paraId="0D26B4C6" w14:textId="77777777" w:rsidTr="008029FC">
        <w:trPr>
          <w:trHeight w:val="227"/>
        </w:trPr>
        <w:tc>
          <w:tcPr>
            <w:tcW w:w="954" w:type="dxa"/>
            <w:vMerge/>
            <w:vAlign w:val="center"/>
          </w:tcPr>
          <w:p w14:paraId="5373DC69" w14:textId="61B91EC0"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1EDB7DCA" w14:textId="4168D9D1"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0920</w:t>
            </w:r>
          </w:p>
        </w:tc>
        <w:tc>
          <w:tcPr>
            <w:tcW w:w="4271" w:type="dxa"/>
            <w:vAlign w:val="center"/>
          </w:tcPr>
          <w:p w14:paraId="65757976" w14:textId="44291D01"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pozostałych odsetek</w:t>
            </w:r>
          </w:p>
        </w:tc>
        <w:tc>
          <w:tcPr>
            <w:tcW w:w="1458" w:type="dxa"/>
            <w:vAlign w:val="center"/>
          </w:tcPr>
          <w:p w14:paraId="66C17DDB" w14:textId="22818A45"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386 349,50</w:t>
            </w:r>
          </w:p>
        </w:tc>
        <w:tc>
          <w:tcPr>
            <w:tcW w:w="1458" w:type="dxa"/>
            <w:vAlign w:val="center"/>
          </w:tcPr>
          <w:p w14:paraId="28061A2B" w14:textId="62B3B4FC"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106 841,05</w:t>
            </w:r>
          </w:p>
        </w:tc>
      </w:tr>
      <w:tr w:rsidR="00F0151C" w:rsidRPr="00F0151C" w14:paraId="4A9BF389" w14:textId="77777777" w:rsidTr="008029FC">
        <w:trPr>
          <w:trHeight w:val="227"/>
        </w:trPr>
        <w:tc>
          <w:tcPr>
            <w:tcW w:w="954" w:type="dxa"/>
            <w:vMerge/>
            <w:vAlign w:val="center"/>
          </w:tcPr>
          <w:p w14:paraId="0043842E" w14:textId="379D2253"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39329B8C" w14:textId="6BC190E5"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0950</w:t>
            </w:r>
          </w:p>
        </w:tc>
        <w:tc>
          <w:tcPr>
            <w:tcW w:w="4271" w:type="dxa"/>
            <w:vAlign w:val="center"/>
          </w:tcPr>
          <w:p w14:paraId="65862499" w14:textId="00922B45"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tytułu kar i odszkodowań wynikających z umów</w:t>
            </w:r>
          </w:p>
        </w:tc>
        <w:tc>
          <w:tcPr>
            <w:tcW w:w="1458" w:type="dxa"/>
            <w:vAlign w:val="center"/>
          </w:tcPr>
          <w:p w14:paraId="6636E888" w14:textId="597931EE"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38 258,46</w:t>
            </w:r>
          </w:p>
        </w:tc>
        <w:tc>
          <w:tcPr>
            <w:tcW w:w="1458" w:type="dxa"/>
            <w:vAlign w:val="center"/>
          </w:tcPr>
          <w:p w14:paraId="63839946" w14:textId="20402BDE"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31 807,01</w:t>
            </w:r>
          </w:p>
        </w:tc>
      </w:tr>
      <w:tr w:rsidR="00F0151C" w:rsidRPr="00F0151C" w14:paraId="780443BC" w14:textId="77777777" w:rsidTr="008029FC">
        <w:trPr>
          <w:trHeight w:val="227"/>
        </w:trPr>
        <w:tc>
          <w:tcPr>
            <w:tcW w:w="954" w:type="dxa"/>
            <w:vMerge/>
            <w:vAlign w:val="center"/>
          </w:tcPr>
          <w:p w14:paraId="458EEE28" w14:textId="2EF4AA37"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17535C89" w14:textId="2A485D86"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0970</w:t>
            </w:r>
          </w:p>
        </w:tc>
        <w:tc>
          <w:tcPr>
            <w:tcW w:w="4271" w:type="dxa"/>
            <w:vAlign w:val="center"/>
          </w:tcPr>
          <w:p w14:paraId="7411ABBD" w14:textId="73C3992C"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Wpływy z różnych dochodów</w:t>
            </w:r>
          </w:p>
        </w:tc>
        <w:tc>
          <w:tcPr>
            <w:tcW w:w="1458" w:type="dxa"/>
            <w:vAlign w:val="center"/>
          </w:tcPr>
          <w:p w14:paraId="64F665CC" w14:textId="0306DB7C"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1 096 214,61</w:t>
            </w:r>
          </w:p>
        </w:tc>
        <w:tc>
          <w:tcPr>
            <w:tcW w:w="1458" w:type="dxa"/>
            <w:vAlign w:val="center"/>
          </w:tcPr>
          <w:p w14:paraId="5BAC31ED" w14:textId="79643CA9"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92 027,97</w:t>
            </w:r>
          </w:p>
        </w:tc>
      </w:tr>
      <w:tr w:rsidR="00F0151C" w:rsidRPr="00F0151C" w14:paraId="503C64D5" w14:textId="77777777" w:rsidTr="008029FC">
        <w:trPr>
          <w:trHeight w:val="227"/>
        </w:trPr>
        <w:tc>
          <w:tcPr>
            <w:tcW w:w="954" w:type="dxa"/>
            <w:vMerge/>
            <w:vAlign w:val="center"/>
          </w:tcPr>
          <w:p w14:paraId="45A543F7" w14:textId="12DBC152" w:rsidR="008854CA" w:rsidRPr="00F0151C" w:rsidRDefault="008854CA" w:rsidP="008A6806">
            <w:pPr>
              <w:pStyle w:val="Domylnie"/>
              <w:spacing w:line="240" w:lineRule="auto"/>
              <w:jc w:val="center"/>
              <w:rPr>
                <w:rFonts w:ascii="Arial" w:hAnsi="Arial" w:cs="Arial"/>
                <w:color w:val="auto"/>
                <w:sz w:val="18"/>
                <w:szCs w:val="18"/>
                <w:lang w:val="pl-PL"/>
              </w:rPr>
            </w:pPr>
          </w:p>
        </w:tc>
        <w:tc>
          <w:tcPr>
            <w:tcW w:w="866" w:type="dxa"/>
            <w:vAlign w:val="center"/>
          </w:tcPr>
          <w:p w14:paraId="702D25BB" w14:textId="2532FCF7" w:rsidR="008854CA" w:rsidRPr="00F0151C" w:rsidRDefault="008854CA" w:rsidP="008A6806">
            <w:pPr>
              <w:pStyle w:val="Domylnie"/>
              <w:spacing w:line="240" w:lineRule="auto"/>
              <w:jc w:val="center"/>
              <w:rPr>
                <w:rFonts w:ascii="Arial" w:hAnsi="Arial" w:cs="Arial"/>
                <w:color w:val="auto"/>
                <w:sz w:val="18"/>
                <w:szCs w:val="18"/>
                <w:lang w:val="pl-PL"/>
              </w:rPr>
            </w:pPr>
            <w:r w:rsidRPr="00F0151C">
              <w:rPr>
                <w:rFonts w:ascii="Arial" w:hAnsi="Arial" w:cs="Arial"/>
                <w:color w:val="auto"/>
                <w:sz w:val="18"/>
                <w:szCs w:val="18"/>
                <w:lang w:val="pl-PL"/>
              </w:rPr>
              <w:t>2650</w:t>
            </w:r>
          </w:p>
        </w:tc>
        <w:tc>
          <w:tcPr>
            <w:tcW w:w="4271" w:type="dxa"/>
            <w:vAlign w:val="center"/>
          </w:tcPr>
          <w:p w14:paraId="0F0D7052" w14:textId="301F4C80" w:rsidR="008854CA" w:rsidRPr="00F0151C" w:rsidRDefault="008854CA"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Dotacja przedmiotowa z budżetu otrzymana przez samorządowy zakład budżetowy</w:t>
            </w:r>
          </w:p>
        </w:tc>
        <w:tc>
          <w:tcPr>
            <w:tcW w:w="1458" w:type="dxa"/>
            <w:vAlign w:val="center"/>
          </w:tcPr>
          <w:p w14:paraId="119AB729" w14:textId="03028947" w:rsidR="008854CA" w:rsidRPr="00F0151C" w:rsidRDefault="008854CA"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6 367 719,45</w:t>
            </w:r>
          </w:p>
        </w:tc>
        <w:tc>
          <w:tcPr>
            <w:tcW w:w="1458" w:type="dxa"/>
            <w:vAlign w:val="center"/>
          </w:tcPr>
          <w:p w14:paraId="77714A4D" w14:textId="4E235C4B" w:rsidR="008854CA"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975 200,00</w:t>
            </w:r>
          </w:p>
        </w:tc>
      </w:tr>
      <w:tr w:rsidR="00F0151C" w:rsidRPr="00F0151C" w14:paraId="49EAFB38" w14:textId="77777777" w:rsidTr="008029FC">
        <w:trPr>
          <w:trHeight w:val="227"/>
        </w:trPr>
        <w:tc>
          <w:tcPr>
            <w:tcW w:w="954" w:type="dxa"/>
            <w:vAlign w:val="center"/>
          </w:tcPr>
          <w:p w14:paraId="2DD1237C" w14:textId="77777777" w:rsidR="008A6806" w:rsidRPr="00F0151C" w:rsidRDefault="008A6806" w:rsidP="008A6806">
            <w:pPr>
              <w:pStyle w:val="Domylnie"/>
              <w:spacing w:line="240" w:lineRule="auto"/>
              <w:jc w:val="center"/>
              <w:rPr>
                <w:rFonts w:ascii="Arial" w:hAnsi="Arial" w:cs="Arial"/>
                <w:color w:val="auto"/>
                <w:sz w:val="18"/>
                <w:szCs w:val="18"/>
                <w:lang w:val="pl-PL"/>
              </w:rPr>
            </w:pPr>
          </w:p>
        </w:tc>
        <w:tc>
          <w:tcPr>
            <w:tcW w:w="866" w:type="dxa"/>
            <w:vAlign w:val="center"/>
          </w:tcPr>
          <w:p w14:paraId="4B4B1D32" w14:textId="77777777" w:rsidR="008A6806" w:rsidRPr="00F0151C" w:rsidRDefault="008A6806" w:rsidP="008A6806">
            <w:pPr>
              <w:pStyle w:val="Domylnie"/>
              <w:spacing w:line="240" w:lineRule="auto"/>
              <w:jc w:val="center"/>
              <w:rPr>
                <w:rFonts w:ascii="Arial" w:hAnsi="Arial" w:cs="Arial"/>
                <w:color w:val="auto"/>
                <w:sz w:val="18"/>
                <w:szCs w:val="18"/>
                <w:lang w:val="pl-PL"/>
              </w:rPr>
            </w:pPr>
          </w:p>
        </w:tc>
        <w:tc>
          <w:tcPr>
            <w:tcW w:w="4271" w:type="dxa"/>
            <w:vAlign w:val="center"/>
          </w:tcPr>
          <w:p w14:paraId="1BABD624" w14:textId="6D0693E9" w:rsidR="008A6806" w:rsidRPr="00F0151C" w:rsidRDefault="008A6806"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Równowartość odpisów amortyzacyjnych</w:t>
            </w:r>
          </w:p>
        </w:tc>
        <w:tc>
          <w:tcPr>
            <w:tcW w:w="1458" w:type="dxa"/>
            <w:vAlign w:val="center"/>
          </w:tcPr>
          <w:p w14:paraId="2A42E7CA" w14:textId="34D31D2F" w:rsidR="008A6806" w:rsidRPr="00F0151C" w:rsidRDefault="008A6806"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6 108 917,73</w:t>
            </w:r>
          </w:p>
        </w:tc>
        <w:tc>
          <w:tcPr>
            <w:tcW w:w="1458" w:type="dxa"/>
            <w:vAlign w:val="center"/>
          </w:tcPr>
          <w:p w14:paraId="63C2F983" w14:textId="300F010B" w:rsidR="008A6806"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1 614 934,96</w:t>
            </w:r>
          </w:p>
        </w:tc>
      </w:tr>
      <w:tr w:rsidR="00F0151C" w:rsidRPr="00F0151C" w14:paraId="68496273" w14:textId="77777777" w:rsidTr="008029FC">
        <w:trPr>
          <w:trHeight w:val="227"/>
        </w:trPr>
        <w:tc>
          <w:tcPr>
            <w:tcW w:w="954" w:type="dxa"/>
            <w:vAlign w:val="center"/>
          </w:tcPr>
          <w:p w14:paraId="074EC618" w14:textId="77777777" w:rsidR="008A6806" w:rsidRPr="00F0151C" w:rsidRDefault="008A6806" w:rsidP="008A6806">
            <w:pPr>
              <w:pStyle w:val="Domylnie"/>
              <w:spacing w:line="240" w:lineRule="auto"/>
              <w:jc w:val="center"/>
              <w:rPr>
                <w:rFonts w:ascii="Arial" w:hAnsi="Arial" w:cs="Arial"/>
                <w:color w:val="auto"/>
                <w:sz w:val="18"/>
                <w:szCs w:val="18"/>
                <w:lang w:val="pl-PL"/>
              </w:rPr>
            </w:pPr>
          </w:p>
        </w:tc>
        <w:tc>
          <w:tcPr>
            <w:tcW w:w="866" w:type="dxa"/>
            <w:vAlign w:val="center"/>
          </w:tcPr>
          <w:p w14:paraId="74124907" w14:textId="77777777" w:rsidR="008A6806" w:rsidRPr="00F0151C" w:rsidRDefault="008A6806" w:rsidP="008A6806">
            <w:pPr>
              <w:pStyle w:val="Domylnie"/>
              <w:spacing w:line="240" w:lineRule="auto"/>
              <w:jc w:val="center"/>
              <w:rPr>
                <w:rFonts w:ascii="Arial" w:hAnsi="Arial" w:cs="Arial"/>
                <w:color w:val="auto"/>
                <w:sz w:val="18"/>
                <w:szCs w:val="18"/>
                <w:lang w:val="pl-PL"/>
              </w:rPr>
            </w:pPr>
          </w:p>
        </w:tc>
        <w:tc>
          <w:tcPr>
            <w:tcW w:w="4271" w:type="dxa"/>
            <w:vAlign w:val="center"/>
          </w:tcPr>
          <w:p w14:paraId="7C88883A" w14:textId="3065499B" w:rsidR="008A6806" w:rsidRPr="00F0151C" w:rsidRDefault="008A6806" w:rsidP="008A6806">
            <w:pPr>
              <w:pStyle w:val="Domylnie"/>
              <w:spacing w:line="240" w:lineRule="auto"/>
              <w:rPr>
                <w:rFonts w:ascii="Arial" w:hAnsi="Arial" w:cs="Arial"/>
                <w:color w:val="auto"/>
                <w:sz w:val="18"/>
                <w:szCs w:val="18"/>
                <w:lang w:val="pl-PL"/>
              </w:rPr>
            </w:pPr>
            <w:r w:rsidRPr="00F0151C">
              <w:rPr>
                <w:rFonts w:ascii="Arial" w:hAnsi="Arial" w:cs="Arial"/>
                <w:color w:val="auto"/>
                <w:sz w:val="18"/>
                <w:szCs w:val="18"/>
                <w:lang w:val="pl-PL"/>
              </w:rPr>
              <w:t>Inne zwiększenia</w:t>
            </w:r>
          </w:p>
        </w:tc>
        <w:tc>
          <w:tcPr>
            <w:tcW w:w="1458" w:type="dxa"/>
            <w:vAlign w:val="center"/>
          </w:tcPr>
          <w:p w14:paraId="1CDF0E7C" w14:textId="62CCC2B7" w:rsidR="008A6806" w:rsidRPr="00F0151C" w:rsidRDefault="008A6806"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437 565,73</w:t>
            </w:r>
          </w:p>
        </w:tc>
        <w:tc>
          <w:tcPr>
            <w:tcW w:w="1458" w:type="dxa"/>
            <w:vAlign w:val="center"/>
          </w:tcPr>
          <w:p w14:paraId="343B76CD" w14:textId="73F8F16C" w:rsidR="008A6806" w:rsidRPr="00F0151C" w:rsidRDefault="001549B8" w:rsidP="008A6806">
            <w:pPr>
              <w:pStyle w:val="Domylnie"/>
              <w:spacing w:line="240" w:lineRule="auto"/>
              <w:jc w:val="right"/>
              <w:rPr>
                <w:rFonts w:ascii="Arial" w:hAnsi="Arial" w:cs="Arial"/>
                <w:color w:val="auto"/>
                <w:sz w:val="18"/>
                <w:szCs w:val="18"/>
                <w:lang w:val="pl-PL"/>
              </w:rPr>
            </w:pPr>
            <w:r w:rsidRPr="00F0151C">
              <w:rPr>
                <w:rFonts w:ascii="Arial" w:hAnsi="Arial" w:cs="Arial"/>
                <w:color w:val="auto"/>
                <w:sz w:val="18"/>
                <w:szCs w:val="18"/>
                <w:lang w:val="pl-PL"/>
              </w:rPr>
              <w:t>27 489,20</w:t>
            </w:r>
          </w:p>
        </w:tc>
      </w:tr>
      <w:tr w:rsidR="00F0151C" w:rsidRPr="00F0151C" w14:paraId="602AA88D" w14:textId="77777777" w:rsidTr="008029FC">
        <w:trPr>
          <w:trHeight w:val="227"/>
        </w:trPr>
        <w:tc>
          <w:tcPr>
            <w:tcW w:w="954" w:type="dxa"/>
            <w:shd w:val="clear" w:color="auto" w:fill="F2F2F2" w:themeFill="background1" w:themeFillShade="F2"/>
            <w:vAlign w:val="center"/>
          </w:tcPr>
          <w:p w14:paraId="56FFB4E0" w14:textId="77777777" w:rsidR="008A6806" w:rsidRPr="00F0151C" w:rsidRDefault="008A6806" w:rsidP="008A6806">
            <w:pPr>
              <w:pStyle w:val="Domylnie"/>
              <w:spacing w:line="240" w:lineRule="auto"/>
              <w:jc w:val="center"/>
              <w:rPr>
                <w:rFonts w:ascii="Arial" w:hAnsi="Arial" w:cs="Arial"/>
                <w:b/>
                <w:bCs/>
                <w:color w:val="auto"/>
                <w:sz w:val="18"/>
                <w:szCs w:val="18"/>
                <w:lang w:val="pl-PL"/>
              </w:rPr>
            </w:pPr>
          </w:p>
        </w:tc>
        <w:tc>
          <w:tcPr>
            <w:tcW w:w="866" w:type="dxa"/>
            <w:shd w:val="clear" w:color="auto" w:fill="F2F2F2" w:themeFill="background1" w:themeFillShade="F2"/>
            <w:vAlign w:val="center"/>
          </w:tcPr>
          <w:p w14:paraId="2ACADDD4" w14:textId="77777777" w:rsidR="008A6806" w:rsidRPr="00F0151C" w:rsidRDefault="008A6806" w:rsidP="008A6806">
            <w:pPr>
              <w:pStyle w:val="Domylnie"/>
              <w:spacing w:line="240" w:lineRule="auto"/>
              <w:jc w:val="center"/>
              <w:rPr>
                <w:rFonts w:ascii="Arial" w:hAnsi="Arial" w:cs="Arial"/>
                <w:b/>
                <w:bCs/>
                <w:color w:val="auto"/>
                <w:sz w:val="18"/>
                <w:szCs w:val="18"/>
                <w:lang w:val="pl-PL"/>
              </w:rPr>
            </w:pPr>
          </w:p>
        </w:tc>
        <w:tc>
          <w:tcPr>
            <w:tcW w:w="4271" w:type="dxa"/>
            <w:shd w:val="clear" w:color="auto" w:fill="F2F2F2" w:themeFill="background1" w:themeFillShade="F2"/>
            <w:vAlign w:val="center"/>
          </w:tcPr>
          <w:p w14:paraId="43ACC96F" w14:textId="7F725D77" w:rsidR="008A6806" w:rsidRPr="00F0151C" w:rsidRDefault="008A6806" w:rsidP="008029FC">
            <w:pPr>
              <w:pStyle w:val="Domylnie"/>
              <w:spacing w:line="240" w:lineRule="auto"/>
              <w:jc w:val="right"/>
              <w:rPr>
                <w:rFonts w:ascii="Arial" w:hAnsi="Arial" w:cs="Arial"/>
                <w:b/>
                <w:bCs/>
                <w:color w:val="auto"/>
                <w:sz w:val="18"/>
                <w:szCs w:val="18"/>
                <w:lang w:val="pl-PL"/>
              </w:rPr>
            </w:pPr>
            <w:r w:rsidRPr="00F0151C">
              <w:rPr>
                <w:rFonts w:ascii="Arial" w:hAnsi="Arial" w:cs="Arial"/>
                <w:b/>
                <w:bCs/>
                <w:color w:val="auto"/>
                <w:sz w:val="18"/>
                <w:szCs w:val="18"/>
                <w:lang w:val="pl-PL"/>
              </w:rPr>
              <w:t>OGÓŁEM</w:t>
            </w:r>
          </w:p>
        </w:tc>
        <w:tc>
          <w:tcPr>
            <w:tcW w:w="1458" w:type="dxa"/>
            <w:shd w:val="clear" w:color="auto" w:fill="F2F2F2" w:themeFill="background1" w:themeFillShade="F2"/>
            <w:vAlign w:val="center"/>
          </w:tcPr>
          <w:p w14:paraId="56B882BC" w14:textId="46EC40CE" w:rsidR="008A6806" w:rsidRPr="00F0151C" w:rsidRDefault="008A6806" w:rsidP="008A6806">
            <w:pPr>
              <w:pStyle w:val="Domylnie"/>
              <w:spacing w:line="240" w:lineRule="auto"/>
              <w:jc w:val="right"/>
              <w:rPr>
                <w:rFonts w:ascii="Arial" w:hAnsi="Arial" w:cs="Arial"/>
                <w:b/>
                <w:bCs/>
                <w:color w:val="auto"/>
                <w:sz w:val="18"/>
                <w:szCs w:val="18"/>
                <w:lang w:val="pl-PL"/>
              </w:rPr>
            </w:pPr>
            <w:r w:rsidRPr="00F0151C">
              <w:rPr>
                <w:rFonts w:ascii="Arial" w:hAnsi="Arial" w:cs="Arial"/>
                <w:b/>
                <w:bCs/>
                <w:color w:val="auto"/>
                <w:sz w:val="18"/>
                <w:szCs w:val="18"/>
                <w:lang w:val="pl-PL"/>
              </w:rPr>
              <w:t>64 595 331,73</w:t>
            </w:r>
          </w:p>
        </w:tc>
        <w:tc>
          <w:tcPr>
            <w:tcW w:w="1458" w:type="dxa"/>
            <w:shd w:val="clear" w:color="auto" w:fill="F2F2F2" w:themeFill="background1" w:themeFillShade="F2"/>
            <w:vAlign w:val="center"/>
          </w:tcPr>
          <w:p w14:paraId="7F7C5736" w14:textId="0997FA28" w:rsidR="008A6806" w:rsidRPr="00F0151C" w:rsidRDefault="001549B8" w:rsidP="008A6806">
            <w:pPr>
              <w:pStyle w:val="Domylnie"/>
              <w:spacing w:line="240" w:lineRule="auto"/>
              <w:jc w:val="right"/>
              <w:rPr>
                <w:rFonts w:ascii="Arial" w:hAnsi="Arial" w:cs="Arial"/>
                <w:b/>
                <w:bCs/>
                <w:color w:val="auto"/>
                <w:sz w:val="18"/>
                <w:szCs w:val="18"/>
                <w:lang w:val="pl-PL"/>
              </w:rPr>
            </w:pPr>
            <w:r w:rsidRPr="00F0151C">
              <w:rPr>
                <w:rFonts w:ascii="Arial" w:hAnsi="Arial" w:cs="Arial"/>
                <w:b/>
                <w:bCs/>
                <w:color w:val="auto"/>
                <w:sz w:val="18"/>
                <w:szCs w:val="18"/>
                <w:lang w:val="pl-PL"/>
              </w:rPr>
              <w:t>18 545 373,38</w:t>
            </w:r>
          </w:p>
        </w:tc>
      </w:tr>
      <w:bookmarkEnd w:id="3"/>
    </w:tbl>
    <w:p w14:paraId="3AD0F617" w14:textId="77777777" w:rsidR="008A6806" w:rsidRPr="00F0151C" w:rsidRDefault="008A6806" w:rsidP="008A6806">
      <w:pPr>
        <w:pStyle w:val="Domylnie"/>
        <w:rPr>
          <w:rFonts w:ascii="Arial" w:hAnsi="Arial" w:cs="Arial"/>
          <w:color w:val="auto"/>
          <w:sz w:val="8"/>
          <w:szCs w:val="8"/>
          <w:lang w:val="pl-PL"/>
        </w:rPr>
      </w:pPr>
    </w:p>
    <w:p w14:paraId="3CFCB0AD" w14:textId="53F3A423" w:rsidR="008029FC" w:rsidRPr="00F0151C" w:rsidRDefault="00893845" w:rsidP="009414F1">
      <w:pPr>
        <w:pStyle w:val="Domylnie"/>
        <w:ind w:firstLine="426"/>
        <w:rPr>
          <w:rFonts w:ascii="Arial" w:hAnsi="Arial" w:cs="Arial"/>
          <w:color w:val="auto"/>
          <w:sz w:val="22"/>
          <w:szCs w:val="22"/>
          <w:lang w:val="pl-PL"/>
        </w:rPr>
      </w:pPr>
      <w:r w:rsidRPr="00F0151C">
        <w:rPr>
          <w:rFonts w:ascii="Arial" w:hAnsi="Arial" w:cs="Arial"/>
          <w:color w:val="auto"/>
          <w:sz w:val="22"/>
          <w:szCs w:val="22"/>
          <w:lang w:val="pl-PL"/>
        </w:rPr>
        <w:t>Koszty poniesione przez zakład budżetowy w kontrolowanym okresie zgodnie ze  sprawozdaniami budżetowymi Rb-30S przedstawiają się następująco:</w:t>
      </w:r>
    </w:p>
    <w:tbl>
      <w:tblPr>
        <w:tblStyle w:val="Tabela-Siatka"/>
        <w:tblW w:w="9007" w:type="dxa"/>
        <w:tblLayout w:type="fixed"/>
        <w:tblLook w:val="04A0" w:firstRow="1" w:lastRow="0" w:firstColumn="1" w:lastColumn="0" w:noHBand="0" w:noVBand="1"/>
      </w:tblPr>
      <w:tblGrid>
        <w:gridCol w:w="954"/>
        <w:gridCol w:w="866"/>
        <w:gridCol w:w="4271"/>
        <w:gridCol w:w="1458"/>
        <w:gridCol w:w="1458"/>
      </w:tblGrid>
      <w:tr w:rsidR="00F0151C" w:rsidRPr="00F0151C" w14:paraId="7456B603" w14:textId="77777777" w:rsidTr="009414F1">
        <w:trPr>
          <w:trHeight w:val="227"/>
          <w:tblHeader/>
        </w:trPr>
        <w:tc>
          <w:tcPr>
            <w:tcW w:w="6091" w:type="dxa"/>
            <w:gridSpan w:val="3"/>
            <w:shd w:val="clear" w:color="auto" w:fill="D9D9D9" w:themeFill="background1" w:themeFillShade="D9"/>
            <w:vAlign w:val="center"/>
          </w:tcPr>
          <w:p w14:paraId="0EE10B04" w14:textId="77777777" w:rsidR="008029FC" w:rsidRPr="00F0151C" w:rsidRDefault="008029FC" w:rsidP="00FA56E9">
            <w:pPr>
              <w:pStyle w:val="Domylnie"/>
              <w:spacing w:line="240" w:lineRule="auto"/>
              <w:jc w:val="center"/>
              <w:rPr>
                <w:rFonts w:ascii="Arial" w:hAnsi="Arial" w:cs="Arial"/>
                <w:b/>
                <w:bCs/>
                <w:color w:val="auto"/>
                <w:sz w:val="16"/>
                <w:szCs w:val="16"/>
                <w:lang w:val="pl-PL"/>
              </w:rPr>
            </w:pPr>
            <w:r w:rsidRPr="00F0151C">
              <w:rPr>
                <w:rFonts w:ascii="Arial" w:hAnsi="Arial" w:cs="Arial"/>
                <w:b/>
                <w:bCs/>
                <w:color w:val="auto"/>
                <w:sz w:val="16"/>
                <w:szCs w:val="16"/>
                <w:lang w:val="pl-PL"/>
              </w:rPr>
              <w:t>KLASYFIKACJA BUDŻETOWA</w:t>
            </w:r>
          </w:p>
        </w:tc>
        <w:tc>
          <w:tcPr>
            <w:tcW w:w="2916" w:type="dxa"/>
            <w:gridSpan w:val="2"/>
            <w:shd w:val="clear" w:color="auto" w:fill="D9D9D9" w:themeFill="background1" w:themeFillShade="D9"/>
            <w:vAlign w:val="center"/>
          </w:tcPr>
          <w:p w14:paraId="6A70616E" w14:textId="77777777" w:rsidR="008029FC" w:rsidRPr="00F0151C" w:rsidRDefault="008029FC" w:rsidP="00FA56E9">
            <w:pPr>
              <w:pStyle w:val="Domylnie"/>
              <w:spacing w:line="240" w:lineRule="auto"/>
              <w:jc w:val="center"/>
              <w:rPr>
                <w:rFonts w:ascii="Arial" w:hAnsi="Arial" w:cs="Arial"/>
                <w:b/>
                <w:bCs/>
                <w:color w:val="auto"/>
                <w:sz w:val="16"/>
                <w:szCs w:val="16"/>
                <w:lang w:val="pl-PL"/>
              </w:rPr>
            </w:pPr>
            <w:r w:rsidRPr="00F0151C">
              <w:rPr>
                <w:rFonts w:ascii="Arial" w:hAnsi="Arial" w:cs="Arial"/>
                <w:b/>
                <w:bCs/>
                <w:color w:val="auto"/>
                <w:sz w:val="16"/>
                <w:szCs w:val="16"/>
                <w:lang w:val="pl-PL"/>
              </w:rPr>
              <w:t>WYKONANIE</w:t>
            </w:r>
          </w:p>
        </w:tc>
      </w:tr>
      <w:tr w:rsidR="00F0151C" w:rsidRPr="00F0151C" w14:paraId="7827B6DB" w14:textId="77777777" w:rsidTr="009414F1">
        <w:trPr>
          <w:trHeight w:val="227"/>
          <w:tblHeader/>
        </w:trPr>
        <w:tc>
          <w:tcPr>
            <w:tcW w:w="954" w:type="dxa"/>
            <w:shd w:val="clear" w:color="auto" w:fill="D9D9D9" w:themeFill="background1" w:themeFillShade="D9"/>
            <w:vAlign w:val="center"/>
          </w:tcPr>
          <w:p w14:paraId="3D91975D" w14:textId="77777777" w:rsidR="008029FC" w:rsidRPr="00F0151C" w:rsidRDefault="008029FC" w:rsidP="00FA56E9">
            <w:pPr>
              <w:pStyle w:val="Domylnie"/>
              <w:spacing w:line="240" w:lineRule="auto"/>
              <w:rPr>
                <w:rFonts w:ascii="Arial" w:hAnsi="Arial" w:cs="Arial"/>
                <w:b/>
                <w:bCs/>
                <w:color w:val="auto"/>
                <w:sz w:val="16"/>
                <w:szCs w:val="16"/>
                <w:lang w:val="pl-PL"/>
              </w:rPr>
            </w:pPr>
            <w:r w:rsidRPr="00F0151C">
              <w:rPr>
                <w:rFonts w:ascii="Arial" w:hAnsi="Arial" w:cs="Arial"/>
                <w:b/>
                <w:bCs/>
                <w:color w:val="auto"/>
                <w:sz w:val="16"/>
                <w:szCs w:val="16"/>
                <w:lang w:val="pl-PL"/>
              </w:rPr>
              <w:t>Rozdział</w:t>
            </w:r>
          </w:p>
        </w:tc>
        <w:tc>
          <w:tcPr>
            <w:tcW w:w="866" w:type="dxa"/>
            <w:shd w:val="clear" w:color="auto" w:fill="D9D9D9" w:themeFill="background1" w:themeFillShade="D9"/>
            <w:vAlign w:val="center"/>
          </w:tcPr>
          <w:p w14:paraId="15689172" w14:textId="77777777" w:rsidR="008029FC" w:rsidRPr="00F0151C" w:rsidRDefault="008029FC" w:rsidP="00FA56E9">
            <w:pPr>
              <w:pStyle w:val="Domylnie"/>
              <w:spacing w:line="240" w:lineRule="auto"/>
              <w:rPr>
                <w:rFonts w:ascii="Arial" w:hAnsi="Arial" w:cs="Arial"/>
                <w:b/>
                <w:bCs/>
                <w:color w:val="auto"/>
                <w:sz w:val="16"/>
                <w:szCs w:val="16"/>
                <w:lang w:val="pl-PL"/>
              </w:rPr>
            </w:pPr>
            <w:r w:rsidRPr="00F0151C">
              <w:rPr>
                <w:rFonts w:ascii="Arial" w:hAnsi="Arial" w:cs="Arial"/>
                <w:b/>
                <w:bCs/>
                <w:color w:val="auto"/>
                <w:sz w:val="16"/>
                <w:szCs w:val="16"/>
                <w:lang w:val="pl-PL"/>
              </w:rPr>
              <w:t>Paragraf</w:t>
            </w:r>
          </w:p>
        </w:tc>
        <w:tc>
          <w:tcPr>
            <w:tcW w:w="4271" w:type="dxa"/>
            <w:shd w:val="clear" w:color="auto" w:fill="D9D9D9" w:themeFill="background1" w:themeFillShade="D9"/>
            <w:vAlign w:val="center"/>
          </w:tcPr>
          <w:p w14:paraId="67A080E7" w14:textId="77777777" w:rsidR="008029FC" w:rsidRPr="00F0151C" w:rsidRDefault="008029FC" w:rsidP="00FA56E9">
            <w:pPr>
              <w:pStyle w:val="Domylnie"/>
              <w:spacing w:line="240" w:lineRule="auto"/>
              <w:jc w:val="center"/>
              <w:rPr>
                <w:rFonts w:ascii="Arial" w:hAnsi="Arial" w:cs="Arial"/>
                <w:b/>
                <w:bCs/>
                <w:color w:val="auto"/>
                <w:sz w:val="16"/>
                <w:szCs w:val="16"/>
                <w:lang w:val="pl-PL"/>
              </w:rPr>
            </w:pPr>
            <w:r w:rsidRPr="00F0151C">
              <w:rPr>
                <w:rFonts w:ascii="Arial" w:hAnsi="Arial" w:cs="Arial"/>
                <w:b/>
                <w:bCs/>
                <w:color w:val="auto"/>
                <w:sz w:val="16"/>
                <w:szCs w:val="16"/>
                <w:lang w:val="pl-PL"/>
              </w:rPr>
              <w:t>Nazwa paragrafu</w:t>
            </w:r>
          </w:p>
        </w:tc>
        <w:tc>
          <w:tcPr>
            <w:tcW w:w="1458" w:type="dxa"/>
            <w:shd w:val="clear" w:color="auto" w:fill="D9D9D9" w:themeFill="background1" w:themeFillShade="D9"/>
            <w:vAlign w:val="center"/>
          </w:tcPr>
          <w:p w14:paraId="137E0A7E" w14:textId="77777777" w:rsidR="008029FC" w:rsidRPr="00F0151C" w:rsidRDefault="008029FC" w:rsidP="00FA56E9">
            <w:pPr>
              <w:pStyle w:val="Domylnie"/>
              <w:spacing w:line="240" w:lineRule="auto"/>
              <w:jc w:val="center"/>
              <w:rPr>
                <w:rFonts w:ascii="Arial" w:hAnsi="Arial" w:cs="Arial"/>
                <w:b/>
                <w:bCs/>
                <w:color w:val="auto"/>
                <w:sz w:val="16"/>
                <w:szCs w:val="16"/>
                <w:lang w:val="pl-PL"/>
              </w:rPr>
            </w:pPr>
            <w:r w:rsidRPr="00F0151C">
              <w:rPr>
                <w:rFonts w:ascii="Arial" w:hAnsi="Arial" w:cs="Arial"/>
                <w:b/>
                <w:bCs/>
                <w:color w:val="auto"/>
                <w:sz w:val="16"/>
                <w:szCs w:val="16"/>
                <w:lang w:val="pl-PL"/>
              </w:rPr>
              <w:t>2022 r.</w:t>
            </w:r>
          </w:p>
        </w:tc>
        <w:tc>
          <w:tcPr>
            <w:tcW w:w="1458" w:type="dxa"/>
            <w:shd w:val="clear" w:color="auto" w:fill="D9D9D9" w:themeFill="background1" w:themeFillShade="D9"/>
            <w:vAlign w:val="center"/>
          </w:tcPr>
          <w:p w14:paraId="65653ED1" w14:textId="77777777" w:rsidR="008029FC" w:rsidRPr="00F0151C" w:rsidRDefault="008029FC" w:rsidP="00FA56E9">
            <w:pPr>
              <w:pStyle w:val="Domylnie"/>
              <w:spacing w:line="240" w:lineRule="auto"/>
              <w:jc w:val="center"/>
              <w:rPr>
                <w:rFonts w:ascii="Arial" w:hAnsi="Arial" w:cs="Arial"/>
                <w:b/>
                <w:bCs/>
                <w:color w:val="auto"/>
                <w:spacing w:val="-6"/>
                <w:sz w:val="16"/>
                <w:szCs w:val="16"/>
                <w:lang w:val="pl-PL"/>
              </w:rPr>
            </w:pPr>
            <w:r w:rsidRPr="00F0151C">
              <w:rPr>
                <w:rFonts w:ascii="Arial" w:hAnsi="Arial" w:cs="Arial"/>
                <w:b/>
                <w:bCs/>
                <w:color w:val="auto"/>
                <w:spacing w:val="-6"/>
                <w:sz w:val="16"/>
                <w:szCs w:val="16"/>
                <w:lang w:val="pl-PL"/>
              </w:rPr>
              <w:t>I kwartał 2023 r.</w:t>
            </w:r>
          </w:p>
        </w:tc>
      </w:tr>
      <w:tr w:rsidR="00F0151C" w:rsidRPr="00F0151C" w14:paraId="71BB5DA0" w14:textId="77777777" w:rsidTr="008029FC">
        <w:trPr>
          <w:trHeight w:val="227"/>
        </w:trPr>
        <w:tc>
          <w:tcPr>
            <w:tcW w:w="954" w:type="dxa"/>
            <w:vMerge w:val="restart"/>
            <w:textDirection w:val="btLr"/>
            <w:vAlign w:val="center"/>
          </w:tcPr>
          <w:p w14:paraId="269EF515" w14:textId="12C53795" w:rsidR="008029FC" w:rsidRPr="00F0151C" w:rsidRDefault="008029FC" w:rsidP="00FA56E9">
            <w:pPr>
              <w:pStyle w:val="Domylnie"/>
              <w:spacing w:line="240" w:lineRule="auto"/>
              <w:ind w:left="113" w:right="113"/>
              <w:jc w:val="center"/>
              <w:rPr>
                <w:rFonts w:ascii="Arial" w:hAnsi="Arial" w:cs="Arial"/>
                <w:color w:val="auto"/>
                <w:sz w:val="16"/>
                <w:szCs w:val="16"/>
                <w:lang w:val="pl-PL"/>
              </w:rPr>
            </w:pPr>
            <w:r w:rsidRPr="00F0151C">
              <w:rPr>
                <w:rFonts w:ascii="Arial" w:hAnsi="Arial" w:cs="Arial"/>
                <w:color w:val="auto"/>
                <w:sz w:val="16"/>
                <w:szCs w:val="16"/>
                <w:lang w:val="pl-PL"/>
              </w:rPr>
              <w:t>70001 - Zakłady gospodarki mieszkaniowej</w:t>
            </w:r>
          </w:p>
        </w:tc>
        <w:tc>
          <w:tcPr>
            <w:tcW w:w="866" w:type="dxa"/>
            <w:vAlign w:val="center"/>
          </w:tcPr>
          <w:p w14:paraId="3B2CF47B" w14:textId="48B90739"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3020</w:t>
            </w:r>
          </w:p>
        </w:tc>
        <w:tc>
          <w:tcPr>
            <w:tcW w:w="4271" w:type="dxa"/>
            <w:vAlign w:val="center"/>
          </w:tcPr>
          <w:p w14:paraId="46ABE1F5" w14:textId="328E6AA7"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Wydatki osobowe niezaliczone do wynagrodzeń</w:t>
            </w:r>
          </w:p>
        </w:tc>
        <w:tc>
          <w:tcPr>
            <w:tcW w:w="1458" w:type="dxa"/>
            <w:vAlign w:val="center"/>
          </w:tcPr>
          <w:p w14:paraId="4B085496" w14:textId="70EEE448"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19 487,38</w:t>
            </w:r>
          </w:p>
        </w:tc>
        <w:tc>
          <w:tcPr>
            <w:tcW w:w="1458" w:type="dxa"/>
            <w:vAlign w:val="center"/>
          </w:tcPr>
          <w:p w14:paraId="19A1DD81" w14:textId="4FAB9CFF"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784,98</w:t>
            </w:r>
          </w:p>
        </w:tc>
      </w:tr>
      <w:tr w:rsidR="00F0151C" w:rsidRPr="00F0151C" w14:paraId="528145BE" w14:textId="77777777" w:rsidTr="008029FC">
        <w:trPr>
          <w:trHeight w:val="227"/>
        </w:trPr>
        <w:tc>
          <w:tcPr>
            <w:tcW w:w="954" w:type="dxa"/>
            <w:vMerge/>
            <w:vAlign w:val="center"/>
          </w:tcPr>
          <w:p w14:paraId="3C03B312"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74F97B66" w14:textId="40D1F972"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4010</w:t>
            </w:r>
          </w:p>
        </w:tc>
        <w:tc>
          <w:tcPr>
            <w:tcW w:w="4271" w:type="dxa"/>
            <w:vAlign w:val="center"/>
          </w:tcPr>
          <w:p w14:paraId="21FFEB4C" w14:textId="5F9A5CA1"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Wynagrodzenia osobowe pracowników</w:t>
            </w:r>
          </w:p>
        </w:tc>
        <w:tc>
          <w:tcPr>
            <w:tcW w:w="1458" w:type="dxa"/>
            <w:vAlign w:val="center"/>
          </w:tcPr>
          <w:p w14:paraId="71F2842B" w14:textId="3029D77E"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8 125 939,82</w:t>
            </w:r>
          </w:p>
        </w:tc>
        <w:tc>
          <w:tcPr>
            <w:tcW w:w="1458" w:type="dxa"/>
            <w:vAlign w:val="center"/>
          </w:tcPr>
          <w:p w14:paraId="7FC56359" w14:textId="6057E016"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2 283 302,59</w:t>
            </w:r>
          </w:p>
        </w:tc>
      </w:tr>
      <w:tr w:rsidR="00F0151C" w:rsidRPr="00F0151C" w14:paraId="05981D79" w14:textId="77777777" w:rsidTr="008029FC">
        <w:trPr>
          <w:trHeight w:val="227"/>
        </w:trPr>
        <w:tc>
          <w:tcPr>
            <w:tcW w:w="954" w:type="dxa"/>
            <w:vMerge/>
            <w:vAlign w:val="center"/>
          </w:tcPr>
          <w:p w14:paraId="445D5FF7"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4D376DAE" w14:textId="0F20B193"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4040</w:t>
            </w:r>
          </w:p>
        </w:tc>
        <w:tc>
          <w:tcPr>
            <w:tcW w:w="4271" w:type="dxa"/>
            <w:vAlign w:val="center"/>
          </w:tcPr>
          <w:p w14:paraId="62779C14" w14:textId="715D8084"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Dodatkowe wynagrodzenie roczne</w:t>
            </w:r>
          </w:p>
        </w:tc>
        <w:tc>
          <w:tcPr>
            <w:tcW w:w="1458" w:type="dxa"/>
            <w:vAlign w:val="center"/>
          </w:tcPr>
          <w:p w14:paraId="21AB8C60" w14:textId="43175F18"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586 491,78</w:t>
            </w:r>
          </w:p>
        </w:tc>
        <w:tc>
          <w:tcPr>
            <w:tcW w:w="1458" w:type="dxa"/>
            <w:vAlign w:val="center"/>
          </w:tcPr>
          <w:p w14:paraId="4D3501EF" w14:textId="5BD29B99"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19CE54CC" w14:textId="77777777" w:rsidTr="008029FC">
        <w:trPr>
          <w:trHeight w:val="227"/>
        </w:trPr>
        <w:tc>
          <w:tcPr>
            <w:tcW w:w="954" w:type="dxa"/>
            <w:vMerge/>
            <w:vAlign w:val="center"/>
          </w:tcPr>
          <w:p w14:paraId="37AF50CC"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5BBB7188" w14:textId="4AB0E43F"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4110</w:t>
            </w:r>
          </w:p>
        </w:tc>
        <w:tc>
          <w:tcPr>
            <w:tcW w:w="4271" w:type="dxa"/>
            <w:vAlign w:val="center"/>
          </w:tcPr>
          <w:p w14:paraId="40FF5CED" w14:textId="0DFA00FB"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Składki na ubezpieczenia społeczne</w:t>
            </w:r>
          </w:p>
        </w:tc>
        <w:tc>
          <w:tcPr>
            <w:tcW w:w="1458" w:type="dxa"/>
            <w:vAlign w:val="center"/>
          </w:tcPr>
          <w:p w14:paraId="1F9CC6DE" w14:textId="64E6FA07"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1 401 221,48</w:t>
            </w:r>
          </w:p>
        </w:tc>
        <w:tc>
          <w:tcPr>
            <w:tcW w:w="1458" w:type="dxa"/>
            <w:vAlign w:val="center"/>
          </w:tcPr>
          <w:p w14:paraId="5C85F329" w14:textId="6D1CFB5F"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353 327,56</w:t>
            </w:r>
          </w:p>
        </w:tc>
      </w:tr>
      <w:tr w:rsidR="00F0151C" w:rsidRPr="00F0151C" w14:paraId="779776A6" w14:textId="77777777" w:rsidTr="008029FC">
        <w:trPr>
          <w:trHeight w:val="227"/>
        </w:trPr>
        <w:tc>
          <w:tcPr>
            <w:tcW w:w="954" w:type="dxa"/>
            <w:vMerge/>
            <w:vAlign w:val="center"/>
          </w:tcPr>
          <w:p w14:paraId="1B97D4FA"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2AD23D82" w14:textId="15B32A24"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4120</w:t>
            </w:r>
          </w:p>
        </w:tc>
        <w:tc>
          <w:tcPr>
            <w:tcW w:w="4271" w:type="dxa"/>
            <w:vAlign w:val="center"/>
          </w:tcPr>
          <w:p w14:paraId="5E8E7107" w14:textId="6EB57108"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Składki na Fundusz Pracy</w:t>
            </w:r>
          </w:p>
        </w:tc>
        <w:tc>
          <w:tcPr>
            <w:tcW w:w="1458" w:type="dxa"/>
            <w:vAlign w:val="center"/>
          </w:tcPr>
          <w:p w14:paraId="1992FA5A" w14:textId="50D3A19A"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148 774,79</w:t>
            </w:r>
          </w:p>
        </w:tc>
        <w:tc>
          <w:tcPr>
            <w:tcW w:w="1458" w:type="dxa"/>
            <w:vAlign w:val="center"/>
          </w:tcPr>
          <w:p w14:paraId="369B1C3F" w14:textId="60CC5382"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37 816,20</w:t>
            </w:r>
          </w:p>
        </w:tc>
      </w:tr>
      <w:tr w:rsidR="00F0151C" w:rsidRPr="00F0151C" w14:paraId="5C42D79F" w14:textId="77777777" w:rsidTr="008029FC">
        <w:trPr>
          <w:trHeight w:val="227"/>
        </w:trPr>
        <w:tc>
          <w:tcPr>
            <w:tcW w:w="954" w:type="dxa"/>
            <w:vMerge/>
            <w:vAlign w:val="center"/>
          </w:tcPr>
          <w:p w14:paraId="08AFAF60"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56E7AD19" w14:textId="7C30A912"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4140</w:t>
            </w:r>
          </w:p>
        </w:tc>
        <w:tc>
          <w:tcPr>
            <w:tcW w:w="4271" w:type="dxa"/>
            <w:vAlign w:val="center"/>
          </w:tcPr>
          <w:p w14:paraId="10E86CE7" w14:textId="1FD2DD1E"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pacing w:val="-2"/>
                <w:sz w:val="16"/>
                <w:szCs w:val="16"/>
                <w:lang w:val="pl-PL"/>
              </w:rPr>
              <w:t>Wpłaty na PFRON</w:t>
            </w:r>
          </w:p>
        </w:tc>
        <w:tc>
          <w:tcPr>
            <w:tcW w:w="1458" w:type="dxa"/>
            <w:vAlign w:val="center"/>
          </w:tcPr>
          <w:p w14:paraId="3FA6A512" w14:textId="75B851D3"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99 604,00</w:t>
            </w:r>
          </w:p>
        </w:tc>
        <w:tc>
          <w:tcPr>
            <w:tcW w:w="1458" w:type="dxa"/>
            <w:vAlign w:val="center"/>
          </w:tcPr>
          <w:p w14:paraId="7717847E" w14:textId="733F2ED1"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30 351,00</w:t>
            </w:r>
          </w:p>
        </w:tc>
      </w:tr>
      <w:tr w:rsidR="00F0151C" w:rsidRPr="00F0151C" w14:paraId="22DBE959" w14:textId="77777777" w:rsidTr="008029FC">
        <w:trPr>
          <w:trHeight w:val="227"/>
        </w:trPr>
        <w:tc>
          <w:tcPr>
            <w:tcW w:w="954" w:type="dxa"/>
            <w:vMerge/>
            <w:vAlign w:val="center"/>
          </w:tcPr>
          <w:p w14:paraId="129B8FCD"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74E85ECC" w14:textId="7DADB9FF"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4170</w:t>
            </w:r>
          </w:p>
        </w:tc>
        <w:tc>
          <w:tcPr>
            <w:tcW w:w="4271" w:type="dxa"/>
            <w:vAlign w:val="center"/>
          </w:tcPr>
          <w:p w14:paraId="1189A236" w14:textId="2AAA3E72"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Wynagrodzenia bezosobowe</w:t>
            </w:r>
          </w:p>
        </w:tc>
        <w:tc>
          <w:tcPr>
            <w:tcW w:w="1458" w:type="dxa"/>
            <w:vAlign w:val="center"/>
          </w:tcPr>
          <w:p w14:paraId="6820ACE2" w14:textId="64769B9C"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49 225,10</w:t>
            </w:r>
          </w:p>
        </w:tc>
        <w:tc>
          <w:tcPr>
            <w:tcW w:w="1458" w:type="dxa"/>
            <w:vAlign w:val="center"/>
          </w:tcPr>
          <w:p w14:paraId="48954DF1" w14:textId="02115F68"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12 391,80</w:t>
            </w:r>
          </w:p>
        </w:tc>
      </w:tr>
      <w:tr w:rsidR="00F0151C" w:rsidRPr="00F0151C" w14:paraId="28F7135D" w14:textId="77777777" w:rsidTr="008029FC">
        <w:trPr>
          <w:trHeight w:val="227"/>
        </w:trPr>
        <w:tc>
          <w:tcPr>
            <w:tcW w:w="954" w:type="dxa"/>
            <w:vMerge/>
            <w:vAlign w:val="center"/>
          </w:tcPr>
          <w:p w14:paraId="6993CA28"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65BF3DAA" w14:textId="1AF58E97"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4210</w:t>
            </w:r>
          </w:p>
        </w:tc>
        <w:tc>
          <w:tcPr>
            <w:tcW w:w="4271" w:type="dxa"/>
            <w:vAlign w:val="center"/>
          </w:tcPr>
          <w:p w14:paraId="74AD9A7E" w14:textId="25675C3D"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materiałów i wyposażenia</w:t>
            </w:r>
          </w:p>
        </w:tc>
        <w:tc>
          <w:tcPr>
            <w:tcW w:w="1458" w:type="dxa"/>
            <w:vAlign w:val="center"/>
          </w:tcPr>
          <w:p w14:paraId="430CB7A7" w14:textId="3402579C"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203 811,53</w:t>
            </w:r>
          </w:p>
        </w:tc>
        <w:tc>
          <w:tcPr>
            <w:tcW w:w="1458" w:type="dxa"/>
            <w:vAlign w:val="center"/>
          </w:tcPr>
          <w:p w14:paraId="59EE6073" w14:textId="1DC437FA"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2 863,17</w:t>
            </w:r>
          </w:p>
        </w:tc>
      </w:tr>
      <w:tr w:rsidR="00F0151C" w:rsidRPr="00F0151C" w14:paraId="35C561FF" w14:textId="77777777" w:rsidTr="008029FC">
        <w:trPr>
          <w:trHeight w:val="227"/>
        </w:trPr>
        <w:tc>
          <w:tcPr>
            <w:tcW w:w="954" w:type="dxa"/>
            <w:vMerge/>
            <w:vAlign w:val="center"/>
          </w:tcPr>
          <w:p w14:paraId="29AEACBB"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2D254286" w14:textId="529B12E4"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4220</w:t>
            </w:r>
          </w:p>
        </w:tc>
        <w:tc>
          <w:tcPr>
            <w:tcW w:w="4271" w:type="dxa"/>
            <w:vAlign w:val="center"/>
          </w:tcPr>
          <w:p w14:paraId="0975D830" w14:textId="6CC17575"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środków żywności</w:t>
            </w:r>
          </w:p>
        </w:tc>
        <w:tc>
          <w:tcPr>
            <w:tcW w:w="1458" w:type="dxa"/>
            <w:vAlign w:val="center"/>
          </w:tcPr>
          <w:p w14:paraId="08F3642F" w14:textId="22F58D1E"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5 296,62</w:t>
            </w:r>
          </w:p>
        </w:tc>
        <w:tc>
          <w:tcPr>
            <w:tcW w:w="1458" w:type="dxa"/>
            <w:vAlign w:val="center"/>
          </w:tcPr>
          <w:p w14:paraId="7C572222" w14:textId="506BB9CC"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1 079,56</w:t>
            </w:r>
          </w:p>
        </w:tc>
      </w:tr>
      <w:tr w:rsidR="00F0151C" w:rsidRPr="00F0151C" w14:paraId="5B6FDC32" w14:textId="77777777" w:rsidTr="008029FC">
        <w:trPr>
          <w:trHeight w:val="227"/>
        </w:trPr>
        <w:tc>
          <w:tcPr>
            <w:tcW w:w="954" w:type="dxa"/>
            <w:vMerge/>
            <w:vAlign w:val="center"/>
          </w:tcPr>
          <w:p w14:paraId="704D3FFC"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5E9CAA45" w14:textId="227195B3"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4260</w:t>
            </w:r>
          </w:p>
        </w:tc>
        <w:tc>
          <w:tcPr>
            <w:tcW w:w="4271" w:type="dxa"/>
            <w:vAlign w:val="center"/>
          </w:tcPr>
          <w:p w14:paraId="3B3CFF7E" w14:textId="153568A7"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energii</w:t>
            </w:r>
          </w:p>
        </w:tc>
        <w:tc>
          <w:tcPr>
            <w:tcW w:w="1458" w:type="dxa"/>
            <w:vAlign w:val="center"/>
          </w:tcPr>
          <w:p w14:paraId="2E226A3A" w14:textId="23D23B43"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152 782,89</w:t>
            </w:r>
          </w:p>
        </w:tc>
        <w:tc>
          <w:tcPr>
            <w:tcW w:w="1458" w:type="dxa"/>
            <w:vAlign w:val="center"/>
          </w:tcPr>
          <w:p w14:paraId="79520AA9" w14:textId="454627DF"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70 284,08</w:t>
            </w:r>
          </w:p>
        </w:tc>
      </w:tr>
      <w:tr w:rsidR="00F0151C" w:rsidRPr="00F0151C" w14:paraId="0E2FEA20" w14:textId="77777777" w:rsidTr="008029FC">
        <w:trPr>
          <w:trHeight w:val="227"/>
        </w:trPr>
        <w:tc>
          <w:tcPr>
            <w:tcW w:w="954" w:type="dxa"/>
            <w:vMerge/>
            <w:vAlign w:val="center"/>
          </w:tcPr>
          <w:p w14:paraId="6D5F4C18"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7BF71E11" w14:textId="4BC44BD9"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4270</w:t>
            </w:r>
          </w:p>
        </w:tc>
        <w:tc>
          <w:tcPr>
            <w:tcW w:w="4271" w:type="dxa"/>
            <w:vAlign w:val="center"/>
          </w:tcPr>
          <w:p w14:paraId="52495B00" w14:textId="25655751"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usług remontowych</w:t>
            </w:r>
          </w:p>
        </w:tc>
        <w:tc>
          <w:tcPr>
            <w:tcW w:w="1458" w:type="dxa"/>
            <w:vAlign w:val="center"/>
          </w:tcPr>
          <w:p w14:paraId="6334ED55" w14:textId="2B7F9226"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161 256,87</w:t>
            </w:r>
          </w:p>
        </w:tc>
        <w:tc>
          <w:tcPr>
            <w:tcW w:w="1458" w:type="dxa"/>
            <w:vAlign w:val="center"/>
          </w:tcPr>
          <w:p w14:paraId="0081CA06" w14:textId="408E2BAB"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11 590,60</w:t>
            </w:r>
          </w:p>
        </w:tc>
      </w:tr>
      <w:tr w:rsidR="00F0151C" w:rsidRPr="00F0151C" w14:paraId="6362C2C0" w14:textId="77777777" w:rsidTr="008029FC">
        <w:trPr>
          <w:trHeight w:val="227"/>
        </w:trPr>
        <w:tc>
          <w:tcPr>
            <w:tcW w:w="954" w:type="dxa"/>
            <w:vMerge/>
            <w:vAlign w:val="center"/>
          </w:tcPr>
          <w:p w14:paraId="5F358BF7"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24476CDE" w14:textId="10076F27"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4280</w:t>
            </w:r>
          </w:p>
        </w:tc>
        <w:tc>
          <w:tcPr>
            <w:tcW w:w="4271" w:type="dxa"/>
            <w:vAlign w:val="center"/>
          </w:tcPr>
          <w:p w14:paraId="6328529E" w14:textId="53BE7A25"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usług zdrowotnych</w:t>
            </w:r>
          </w:p>
        </w:tc>
        <w:tc>
          <w:tcPr>
            <w:tcW w:w="1458" w:type="dxa"/>
            <w:vAlign w:val="center"/>
          </w:tcPr>
          <w:p w14:paraId="1CF66CAA" w14:textId="4B632545"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5 345,00</w:t>
            </w:r>
          </w:p>
        </w:tc>
        <w:tc>
          <w:tcPr>
            <w:tcW w:w="1458" w:type="dxa"/>
            <w:vAlign w:val="center"/>
          </w:tcPr>
          <w:p w14:paraId="34B37380" w14:textId="34734125"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1 310,00</w:t>
            </w:r>
          </w:p>
        </w:tc>
      </w:tr>
      <w:tr w:rsidR="00F0151C" w:rsidRPr="00F0151C" w14:paraId="6F84DDCA" w14:textId="77777777" w:rsidTr="008029FC">
        <w:trPr>
          <w:trHeight w:val="227"/>
        </w:trPr>
        <w:tc>
          <w:tcPr>
            <w:tcW w:w="954" w:type="dxa"/>
            <w:vMerge/>
            <w:vAlign w:val="center"/>
          </w:tcPr>
          <w:p w14:paraId="5ED62401"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5830158D" w14:textId="235C7CD3"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4300</w:t>
            </w:r>
          </w:p>
        </w:tc>
        <w:tc>
          <w:tcPr>
            <w:tcW w:w="4271" w:type="dxa"/>
            <w:vAlign w:val="center"/>
          </w:tcPr>
          <w:p w14:paraId="47B79E3C" w14:textId="75B5651F"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usług pozostałych</w:t>
            </w:r>
          </w:p>
        </w:tc>
        <w:tc>
          <w:tcPr>
            <w:tcW w:w="1458" w:type="dxa"/>
            <w:vAlign w:val="center"/>
          </w:tcPr>
          <w:p w14:paraId="6A3E3FBB" w14:textId="36F02210"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1 056 694,46</w:t>
            </w:r>
          </w:p>
        </w:tc>
        <w:tc>
          <w:tcPr>
            <w:tcW w:w="1458" w:type="dxa"/>
            <w:vAlign w:val="center"/>
          </w:tcPr>
          <w:p w14:paraId="711FE443" w14:textId="76C067EF"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305 350,78</w:t>
            </w:r>
          </w:p>
        </w:tc>
      </w:tr>
      <w:tr w:rsidR="00F0151C" w:rsidRPr="00F0151C" w14:paraId="670C4CB3" w14:textId="77777777" w:rsidTr="008029FC">
        <w:trPr>
          <w:trHeight w:val="227"/>
        </w:trPr>
        <w:tc>
          <w:tcPr>
            <w:tcW w:w="954" w:type="dxa"/>
            <w:vMerge/>
            <w:vAlign w:val="center"/>
          </w:tcPr>
          <w:p w14:paraId="573D8D89"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6F6BA40C" w14:textId="7C625BF0"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4360</w:t>
            </w:r>
          </w:p>
        </w:tc>
        <w:tc>
          <w:tcPr>
            <w:tcW w:w="4271" w:type="dxa"/>
            <w:vAlign w:val="center"/>
          </w:tcPr>
          <w:p w14:paraId="0F81540D" w14:textId="7BD4CD80"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Opłaty z tytułu zakupu usług telekomunikacyjnych</w:t>
            </w:r>
          </w:p>
        </w:tc>
        <w:tc>
          <w:tcPr>
            <w:tcW w:w="1458" w:type="dxa"/>
            <w:vAlign w:val="center"/>
          </w:tcPr>
          <w:p w14:paraId="6F823B94" w14:textId="336ED21C"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65 234,59</w:t>
            </w:r>
          </w:p>
        </w:tc>
        <w:tc>
          <w:tcPr>
            <w:tcW w:w="1458" w:type="dxa"/>
            <w:vAlign w:val="center"/>
          </w:tcPr>
          <w:p w14:paraId="72349A31" w14:textId="176EF398"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18 531,93</w:t>
            </w:r>
          </w:p>
        </w:tc>
      </w:tr>
      <w:tr w:rsidR="00F0151C" w:rsidRPr="00F0151C" w14:paraId="6E942390" w14:textId="77777777" w:rsidTr="008029FC">
        <w:trPr>
          <w:trHeight w:val="227"/>
        </w:trPr>
        <w:tc>
          <w:tcPr>
            <w:tcW w:w="954" w:type="dxa"/>
            <w:vMerge/>
            <w:vAlign w:val="center"/>
          </w:tcPr>
          <w:p w14:paraId="03BCB482"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7965A3C8" w14:textId="6B525A3D"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4410</w:t>
            </w:r>
          </w:p>
        </w:tc>
        <w:tc>
          <w:tcPr>
            <w:tcW w:w="4271" w:type="dxa"/>
            <w:vAlign w:val="center"/>
          </w:tcPr>
          <w:p w14:paraId="4B493793" w14:textId="4D564EAD"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Podróże służbowe krajowe</w:t>
            </w:r>
          </w:p>
        </w:tc>
        <w:tc>
          <w:tcPr>
            <w:tcW w:w="1458" w:type="dxa"/>
            <w:vAlign w:val="center"/>
          </w:tcPr>
          <w:p w14:paraId="52E5EF6C" w14:textId="3A13872D"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6 589,12</w:t>
            </w:r>
          </w:p>
        </w:tc>
        <w:tc>
          <w:tcPr>
            <w:tcW w:w="1458" w:type="dxa"/>
            <w:vAlign w:val="center"/>
          </w:tcPr>
          <w:p w14:paraId="5A1EE716" w14:textId="0B329436"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2 974,04</w:t>
            </w:r>
          </w:p>
        </w:tc>
      </w:tr>
      <w:tr w:rsidR="00F0151C" w:rsidRPr="00F0151C" w14:paraId="72E263A8" w14:textId="77777777" w:rsidTr="008029FC">
        <w:trPr>
          <w:trHeight w:val="227"/>
        </w:trPr>
        <w:tc>
          <w:tcPr>
            <w:tcW w:w="954" w:type="dxa"/>
            <w:vMerge/>
            <w:vAlign w:val="center"/>
          </w:tcPr>
          <w:p w14:paraId="44252CB8"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61316DC7" w14:textId="3A64FEBD"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4430</w:t>
            </w:r>
          </w:p>
        </w:tc>
        <w:tc>
          <w:tcPr>
            <w:tcW w:w="4271" w:type="dxa"/>
            <w:vAlign w:val="center"/>
          </w:tcPr>
          <w:p w14:paraId="404D4A74" w14:textId="16DC2F3B"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Różne opłaty i składki</w:t>
            </w:r>
          </w:p>
        </w:tc>
        <w:tc>
          <w:tcPr>
            <w:tcW w:w="1458" w:type="dxa"/>
            <w:vAlign w:val="center"/>
          </w:tcPr>
          <w:p w14:paraId="702E11D7" w14:textId="2495CD1C"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25 493,89</w:t>
            </w:r>
          </w:p>
        </w:tc>
        <w:tc>
          <w:tcPr>
            <w:tcW w:w="1458" w:type="dxa"/>
            <w:vAlign w:val="center"/>
          </w:tcPr>
          <w:p w14:paraId="326F4CCF" w14:textId="28BC77E5"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27 619,71</w:t>
            </w:r>
          </w:p>
        </w:tc>
      </w:tr>
      <w:tr w:rsidR="00F0151C" w:rsidRPr="00F0151C" w14:paraId="5B5EFAF9" w14:textId="77777777" w:rsidTr="008029FC">
        <w:trPr>
          <w:trHeight w:val="227"/>
        </w:trPr>
        <w:tc>
          <w:tcPr>
            <w:tcW w:w="954" w:type="dxa"/>
            <w:vMerge/>
            <w:vAlign w:val="center"/>
          </w:tcPr>
          <w:p w14:paraId="721628A7"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57227BFD" w14:textId="21DD75B0"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4440</w:t>
            </w:r>
          </w:p>
        </w:tc>
        <w:tc>
          <w:tcPr>
            <w:tcW w:w="4271" w:type="dxa"/>
            <w:vAlign w:val="center"/>
          </w:tcPr>
          <w:p w14:paraId="60FB7359" w14:textId="0F535BE4"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Odpisy na ZFŚS</w:t>
            </w:r>
          </w:p>
        </w:tc>
        <w:tc>
          <w:tcPr>
            <w:tcW w:w="1458" w:type="dxa"/>
            <w:vAlign w:val="center"/>
          </w:tcPr>
          <w:p w14:paraId="29850064" w14:textId="4C4CEAE4"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228 758,00</w:t>
            </w:r>
          </w:p>
        </w:tc>
        <w:tc>
          <w:tcPr>
            <w:tcW w:w="1458" w:type="dxa"/>
            <w:vAlign w:val="center"/>
          </w:tcPr>
          <w:p w14:paraId="6E6CB4BF" w14:textId="1109F424"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57 233,84</w:t>
            </w:r>
          </w:p>
        </w:tc>
      </w:tr>
      <w:tr w:rsidR="00F0151C" w:rsidRPr="00F0151C" w14:paraId="3225C03B" w14:textId="77777777" w:rsidTr="008029FC">
        <w:trPr>
          <w:trHeight w:val="227"/>
        </w:trPr>
        <w:tc>
          <w:tcPr>
            <w:tcW w:w="954" w:type="dxa"/>
            <w:vMerge/>
            <w:vAlign w:val="center"/>
          </w:tcPr>
          <w:p w14:paraId="65CEF866"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501C4801" w14:textId="295BE1F3"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4510</w:t>
            </w:r>
          </w:p>
        </w:tc>
        <w:tc>
          <w:tcPr>
            <w:tcW w:w="4271" w:type="dxa"/>
            <w:vAlign w:val="center"/>
          </w:tcPr>
          <w:p w14:paraId="68033E3B" w14:textId="75A993B1"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Opłaty na rzecz budżetu państwa</w:t>
            </w:r>
          </w:p>
        </w:tc>
        <w:tc>
          <w:tcPr>
            <w:tcW w:w="1458" w:type="dxa"/>
            <w:vAlign w:val="center"/>
          </w:tcPr>
          <w:p w14:paraId="5F773E8A" w14:textId="5A06E31E"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c>
          <w:tcPr>
            <w:tcW w:w="1458" w:type="dxa"/>
            <w:vAlign w:val="center"/>
          </w:tcPr>
          <w:p w14:paraId="7CA71D8E" w14:textId="5EFB4157"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35273E22" w14:textId="77777777" w:rsidTr="008029FC">
        <w:trPr>
          <w:trHeight w:val="227"/>
        </w:trPr>
        <w:tc>
          <w:tcPr>
            <w:tcW w:w="954" w:type="dxa"/>
            <w:vMerge/>
            <w:vAlign w:val="center"/>
          </w:tcPr>
          <w:p w14:paraId="36BA7C61"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2B42614B" w14:textId="44955A6C"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4520</w:t>
            </w:r>
          </w:p>
        </w:tc>
        <w:tc>
          <w:tcPr>
            <w:tcW w:w="4271" w:type="dxa"/>
            <w:vAlign w:val="center"/>
          </w:tcPr>
          <w:p w14:paraId="2C9B3BBC" w14:textId="1FC0B854"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 xml:space="preserve">Opłaty na rzecz budżetów </w:t>
            </w:r>
            <w:proofErr w:type="spellStart"/>
            <w:r w:rsidRPr="00F0151C">
              <w:rPr>
                <w:rFonts w:ascii="Arial" w:hAnsi="Arial" w:cs="Arial"/>
                <w:color w:val="auto"/>
                <w:sz w:val="16"/>
                <w:szCs w:val="16"/>
                <w:lang w:val="pl-PL"/>
              </w:rPr>
              <w:t>jst</w:t>
            </w:r>
            <w:proofErr w:type="spellEnd"/>
          </w:p>
        </w:tc>
        <w:tc>
          <w:tcPr>
            <w:tcW w:w="1458" w:type="dxa"/>
            <w:vAlign w:val="center"/>
          </w:tcPr>
          <w:p w14:paraId="5A4F6BB2" w14:textId="1B83C34A"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c>
          <w:tcPr>
            <w:tcW w:w="1458" w:type="dxa"/>
            <w:vAlign w:val="center"/>
          </w:tcPr>
          <w:p w14:paraId="33E361AF" w14:textId="0E8412CA"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3D4ADCE9" w14:textId="77777777" w:rsidTr="008029FC">
        <w:trPr>
          <w:trHeight w:val="227"/>
        </w:trPr>
        <w:tc>
          <w:tcPr>
            <w:tcW w:w="954" w:type="dxa"/>
            <w:vMerge/>
            <w:vAlign w:val="center"/>
          </w:tcPr>
          <w:p w14:paraId="3D8763BC"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0E0A04C8" w14:textId="1341C8B5"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4700</w:t>
            </w:r>
          </w:p>
        </w:tc>
        <w:tc>
          <w:tcPr>
            <w:tcW w:w="4271" w:type="dxa"/>
            <w:vAlign w:val="center"/>
          </w:tcPr>
          <w:p w14:paraId="31662C32" w14:textId="7011BD4A"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Szkolenia pracowników niebędących członkami korpusu służby cywilnej</w:t>
            </w:r>
          </w:p>
        </w:tc>
        <w:tc>
          <w:tcPr>
            <w:tcW w:w="1458" w:type="dxa"/>
            <w:vAlign w:val="center"/>
          </w:tcPr>
          <w:p w14:paraId="37BA5534" w14:textId="762898E8"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37 867,96</w:t>
            </w:r>
          </w:p>
        </w:tc>
        <w:tc>
          <w:tcPr>
            <w:tcW w:w="1458" w:type="dxa"/>
            <w:vAlign w:val="center"/>
          </w:tcPr>
          <w:p w14:paraId="026379F8" w14:textId="44540462"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8 299,00</w:t>
            </w:r>
          </w:p>
        </w:tc>
      </w:tr>
      <w:tr w:rsidR="00F0151C" w:rsidRPr="00F0151C" w14:paraId="630E8082" w14:textId="77777777" w:rsidTr="008029FC">
        <w:trPr>
          <w:trHeight w:val="227"/>
        </w:trPr>
        <w:tc>
          <w:tcPr>
            <w:tcW w:w="954" w:type="dxa"/>
            <w:vMerge/>
            <w:vAlign w:val="center"/>
          </w:tcPr>
          <w:p w14:paraId="2181428C"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76E2AF00" w14:textId="00233AF7"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4710</w:t>
            </w:r>
          </w:p>
        </w:tc>
        <w:tc>
          <w:tcPr>
            <w:tcW w:w="4271" w:type="dxa"/>
            <w:vAlign w:val="center"/>
          </w:tcPr>
          <w:p w14:paraId="71609167" w14:textId="5ECAD056"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Wpłaty na PPK finansowane przez podmiot zatrudniający</w:t>
            </w:r>
          </w:p>
        </w:tc>
        <w:tc>
          <w:tcPr>
            <w:tcW w:w="1458" w:type="dxa"/>
            <w:vAlign w:val="center"/>
          </w:tcPr>
          <w:p w14:paraId="20B706BE" w14:textId="2CE61D59"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30 888,95</w:t>
            </w:r>
          </w:p>
        </w:tc>
        <w:tc>
          <w:tcPr>
            <w:tcW w:w="1458" w:type="dxa"/>
            <w:vAlign w:val="center"/>
          </w:tcPr>
          <w:p w14:paraId="288A7746" w14:textId="785ACB14"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8 628,11</w:t>
            </w:r>
          </w:p>
        </w:tc>
      </w:tr>
      <w:tr w:rsidR="00F0151C" w:rsidRPr="00F0151C" w14:paraId="3B45D3F7" w14:textId="77777777" w:rsidTr="008029FC">
        <w:trPr>
          <w:trHeight w:val="227"/>
        </w:trPr>
        <w:tc>
          <w:tcPr>
            <w:tcW w:w="954" w:type="dxa"/>
            <w:vMerge/>
            <w:vAlign w:val="center"/>
          </w:tcPr>
          <w:p w14:paraId="0B56E6BA"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1FDE19A1" w14:textId="13C20EA7"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6070</w:t>
            </w:r>
          </w:p>
        </w:tc>
        <w:tc>
          <w:tcPr>
            <w:tcW w:w="4271" w:type="dxa"/>
            <w:vAlign w:val="center"/>
          </w:tcPr>
          <w:p w14:paraId="268A07D6" w14:textId="0A5DA451"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 xml:space="preserve">Wydatki inwestycyjne </w:t>
            </w:r>
            <w:proofErr w:type="spellStart"/>
            <w:r w:rsidRPr="00F0151C">
              <w:rPr>
                <w:rFonts w:ascii="Arial" w:hAnsi="Arial" w:cs="Arial"/>
                <w:color w:val="auto"/>
                <w:sz w:val="16"/>
                <w:szCs w:val="16"/>
                <w:lang w:val="pl-PL"/>
              </w:rPr>
              <w:t>samorz</w:t>
            </w:r>
            <w:proofErr w:type="spellEnd"/>
            <w:r w:rsidR="007214AC" w:rsidRPr="00F0151C">
              <w:rPr>
                <w:rFonts w:ascii="Arial" w:hAnsi="Arial" w:cs="Arial"/>
                <w:color w:val="auto"/>
                <w:sz w:val="16"/>
                <w:szCs w:val="16"/>
                <w:lang w:val="pl-PL"/>
              </w:rPr>
              <w:t>.</w:t>
            </w:r>
            <w:r w:rsidRPr="00F0151C">
              <w:rPr>
                <w:rFonts w:ascii="Arial" w:hAnsi="Arial" w:cs="Arial"/>
                <w:color w:val="auto"/>
                <w:sz w:val="16"/>
                <w:szCs w:val="16"/>
                <w:lang w:val="pl-PL"/>
              </w:rPr>
              <w:t xml:space="preserve"> zakładów budżetowych</w:t>
            </w:r>
          </w:p>
        </w:tc>
        <w:tc>
          <w:tcPr>
            <w:tcW w:w="1458" w:type="dxa"/>
            <w:vAlign w:val="center"/>
          </w:tcPr>
          <w:p w14:paraId="185B681F" w14:textId="49CA2794"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c>
          <w:tcPr>
            <w:tcW w:w="1458" w:type="dxa"/>
            <w:vAlign w:val="center"/>
          </w:tcPr>
          <w:p w14:paraId="05B63CC4" w14:textId="5DEAE1DA"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3A79FA4B" w14:textId="77777777" w:rsidTr="008029FC">
        <w:trPr>
          <w:trHeight w:val="227"/>
        </w:trPr>
        <w:tc>
          <w:tcPr>
            <w:tcW w:w="954" w:type="dxa"/>
            <w:vMerge w:val="restart"/>
            <w:textDirection w:val="btLr"/>
            <w:vAlign w:val="center"/>
          </w:tcPr>
          <w:p w14:paraId="00E17D61" w14:textId="25E0BB58" w:rsidR="008029FC" w:rsidRPr="00F0151C" w:rsidRDefault="008029FC" w:rsidP="00FA56E9">
            <w:pPr>
              <w:pStyle w:val="Domylnie"/>
              <w:spacing w:line="240" w:lineRule="auto"/>
              <w:ind w:left="113" w:right="113"/>
              <w:jc w:val="center"/>
              <w:rPr>
                <w:rFonts w:ascii="Arial" w:hAnsi="Arial" w:cs="Arial"/>
                <w:color w:val="auto"/>
                <w:sz w:val="16"/>
                <w:szCs w:val="16"/>
                <w:lang w:val="pl-PL"/>
              </w:rPr>
            </w:pPr>
            <w:r w:rsidRPr="00F0151C">
              <w:rPr>
                <w:rFonts w:ascii="Arial" w:hAnsi="Arial" w:cs="Arial"/>
                <w:color w:val="auto"/>
                <w:sz w:val="16"/>
                <w:szCs w:val="16"/>
                <w:lang w:val="pl-PL"/>
              </w:rPr>
              <w:t>70005 - Gospodarka gruntami i nieruchomościami</w:t>
            </w:r>
          </w:p>
        </w:tc>
        <w:tc>
          <w:tcPr>
            <w:tcW w:w="866" w:type="dxa"/>
            <w:vAlign w:val="center"/>
          </w:tcPr>
          <w:p w14:paraId="6593B320" w14:textId="76F114B5"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4260</w:t>
            </w:r>
          </w:p>
        </w:tc>
        <w:tc>
          <w:tcPr>
            <w:tcW w:w="4271" w:type="dxa"/>
            <w:vAlign w:val="center"/>
          </w:tcPr>
          <w:p w14:paraId="6E4BB800" w14:textId="439E8DD9" w:rsidR="008029FC" w:rsidRPr="00F0151C" w:rsidRDefault="008029FC" w:rsidP="00FA56E9">
            <w:pPr>
              <w:pStyle w:val="Domylnie"/>
              <w:spacing w:line="240" w:lineRule="auto"/>
              <w:rPr>
                <w:rFonts w:ascii="Arial" w:hAnsi="Arial" w:cs="Arial"/>
                <w:color w:val="auto"/>
                <w:spacing w:val="-4"/>
                <w:sz w:val="16"/>
                <w:szCs w:val="16"/>
                <w:lang w:val="pl-PL"/>
              </w:rPr>
            </w:pPr>
            <w:r w:rsidRPr="00F0151C">
              <w:rPr>
                <w:rFonts w:ascii="Arial" w:hAnsi="Arial" w:cs="Arial"/>
                <w:color w:val="auto"/>
                <w:sz w:val="16"/>
                <w:szCs w:val="16"/>
                <w:lang w:val="pl-PL"/>
              </w:rPr>
              <w:t>Zakup energii</w:t>
            </w:r>
          </w:p>
        </w:tc>
        <w:tc>
          <w:tcPr>
            <w:tcW w:w="1458" w:type="dxa"/>
            <w:vAlign w:val="center"/>
          </w:tcPr>
          <w:p w14:paraId="69DEDA73" w14:textId="7AD0A14D"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3 319 687,01</w:t>
            </w:r>
          </w:p>
        </w:tc>
        <w:tc>
          <w:tcPr>
            <w:tcW w:w="1458" w:type="dxa"/>
            <w:vAlign w:val="center"/>
          </w:tcPr>
          <w:p w14:paraId="256F50C2" w14:textId="2E7F4A15"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1 329 728,85</w:t>
            </w:r>
          </w:p>
        </w:tc>
      </w:tr>
      <w:tr w:rsidR="00F0151C" w:rsidRPr="00F0151C" w14:paraId="2FAE50B0" w14:textId="77777777" w:rsidTr="008029FC">
        <w:trPr>
          <w:trHeight w:val="227"/>
        </w:trPr>
        <w:tc>
          <w:tcPr>
            <w:tcW w:w="954" w:type="dxa"/>
            <w:vMerge/>
            <w:vAlign w:val="center"/>
          </w:tcPr>
          <w:p w14:paraId="7483E496"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02E54A6D" w14:textId="1CB06275"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4270</w:t>
            </w:r>
          </w:p>
        </w:tc>
        <w:tc>
          <w:tcPr>
            <w:tcW w:w="4271" w:type="dxa"/>
            <w:vAlign w:val="center"/>
          </w:tcPr>
          <w:p w14:paraId="3164FBDC" w14:textId="3BD37413"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usług remontowych</w:t>
            </w:r>
          </w:p>
        </w:tc>
        <w:tc>
          <w:tcPr>
            <w:tcW w:w="1458" w:type="dxa"/>
            <w:vAlign w:val="center"/>
          </w:tcPr>
          <w:p w14:paraId="0A1EEC9C" w14:textId="65B8C400"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768 205,49</w:t>
            </w:r>
          </w:p>
        </w:tc>
        <w:tc>
          <w:tcPr>
            <w:tcW w:w="1458" w:type="dxa"/>
            <w:vAlign w:val="center"/>
          </w:tcPr>
          <w:p w14:paraId="5F67E44D" w14:textId="4F4A2511"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200 141,03</w:t>
            </w:r>
          </w:p>
        </w:tc>
      </w:tr>
      <w:tr w:rsidR="00F0151C" w:rsidRPr="00F0151C" w14:paraId="3F28AED7" w14:textId="77777777" w:rsidTr="008029FC">
        <w:trPr>
          <w:trHeight w:val="227"/>
        </w:trPr>
        <w:tc>
          <w:tcPr>
            <w:tcW w:w="954" w:type="dxa"/>
            <w:vMerge/>
            <w:vAlign w:val="center"/>
          </w:tcPr>
          <w:p w14:paraId="4D5A4D4C"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1C5442E4" w14:textId="41DB0F59"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4300</w:t>
            </w:r>
          </w:p>
        </w:tc>
        <w:tc>
          <w:tcPr>
            <w:tcW w:w="4271" w:type="dxa"/>
            <w:vAlign w:val="center"/>
          </w:tcPr>
          <w:p w14:paraId="6796D5FB" w14:textId="41115B55"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usług pozostałych</w:t>
            </w:r>
          </w:p>
        </w:tc>
        <w:tc>
          <w:tcPr>
            <w:tcW w:w="1458" w:type="dxa"/>
            <w:vAlign w:val="center"/>
          </w:tcPr>
          <w:p w14:paraId="209BDE05" w14:textId="373625DA"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2 845 010,98</w:t>
            </w:r>
          </w:p>
        </w:tc>
        <w:tc>
          <w:tcPr>
            <w:tcW w:w="1458" w:type="dxa"/>
            <w:vAlign w:val="center"/>
          </w:tcPr>
          <w:p w14:paraId="16A12582" w14:textId="5A69D818"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691 339,46</w:t>
            </w:r>
          </w:p>
        </w:tc>
      </w:tr>
      <w:tr w:rsidR="00F0151C" w:rsidRPr="00F0151C" w14:paraId="5F735FF8" w14:textId="77777777" w:rsidTr="008029FC">
        <w:trPr>
          <w:trHeight w:val="227"/>
        </w:trPr>
        <w:tc>
          <w:tcPr>
            <w:tcW w:w="954" w:type="dxa"/>
            <w:vMerge/>
            <w:vAlign w:val="center"/>
          </w:tcPr>
          <w:p w14:paraId="16C833F1"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197D631E" w14:textId="75B835B0"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4360</w:t>
            </w:r>
          </w:p>
        </w:tc>
        <w:tc>
          <w:tcPr>
            <w:tcW w:w="4271" w:type="dxa"/>
            <w:vAlign w:val="center"/>
          </w:tcPr>
          <w:p w14:paraId="7A504312" w14:textId="000C8847"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Opłaty z tytułu zakupu usług telekomunikacyjnych</w:t>
            </w:r>
          </w:p>
        </w:tc>
        <w:tc>
          <w:tcPr>
            <w:tcW w:w="1458" w:type="dxa"/>
            <w:vAlign w:val="center"/>
          </w:tcPr>
          <w:p w14:paraId="742A0D2F" w14:textId="45604790"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1 296,43</w:t>
            </w:r>
          </w:p>
        </w:tc>
        <w:tc>
          <w:tcPr>
            <w:tcW w:w="1458" w:type="dxa"/>
            <w:vAlign w:val="center"/>
          </w:tcPr>
          <w:p w14:paraId="0C48C9D3" w14:textId="52C79E93"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322,73</w:t>
            </w:r>
          </w:p>
        </w:tc>
      </w:tr>
      <w:tr w:rsidR="00F0151C" w:rsidRPr="00F0151C" w14:paraId="0096ECB3" w14:textId="77777777" w:rsidTr="008029FC">
        <w:trPr>
          <w:trHeight w:val="227"/>
        </w:trPr>
        <w:tc>
          <w:tcPr>
            <w:tcW w:w="954" w:type="dxa"/>
            <w:vMerge/>
            <w:vAlign w:val="center"/>
          </w:tcPr>
          <w:p w14:paraId="68358F66"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69CB21E1" w14:textId="6AC13C39"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4430</w:t>
            </w:r>
          </w:p>
        </w:tc>
        <w:tc>
          <w:tcPr>
            <w:tcW w:w="4271" w:type="dxa"/>
            <w:vAlign w:val="center"/>
          </w:tcPr>
          <w:p w14:paraId="30DFAF2C" w14:textId="180CAE3F"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Różne opłaty i składki</w:t>
            </w:r>
          </w:p>
        </w:tc>
        <w:tc>
          <w:tcPr>
            <w:tcW w:w="1458" w:type="dxa"/>
            <w:vAlign w:val="center"/>
          </w:tcPr>
          <w:p w14:paraId="104FFD2F" w14:textId="5A32D896"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27 442,87</w:t>
            </w:r>
          </w:p>
        </w:tc>
        <w:tc>
          <w:tcPr>
            <w:tcW w:w="1458" w:type="dxa"/>
            <w:vAlign w:val="center"/>
          </w:tcPr>
          <w:p w14:paraId="67B0B183" w14:textId="4720FFF7"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25 462,13</w:t>
            </w:r>
          </w:p>
        </w:tc>
      </w:tr>
      <w:tr w:rsidR="00F0151C" w:rsidRPr="00F0151C" w14:paraId="326334C5" w14:textId="77777777" w:rsidTr="008029FC">
        <w:trPr>
          <w:trHeight w:val="227"/>
        </w:trPr>
        <w:tc>
          <w:tcPr>
            <w:tcW w:w="954" w:type="dxa"/>
            <w:vMerge/>
            <w:vAlign w:val="center"/>
          </w:tcPr>
          <w:p w14:paraId="3903370A"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4B635453" w14:textId="095260FD"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4480</w:t>
            </w:r>
          </w:p>
        </w:tc>
        <w:tc>
          <w:tcPr>
            <w:tcW w:w="4271" w:type="dxa"/>
            <w:vAlign w:val="center"/>
          </w:tcPr>
          <w:p w14:paraId="3CA6C35A" w14:textId="37CCA407"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Podatek od nieruchomości</w:t>
            </w:r>
          </w:p>
        </w:tc>
        <w:tc>
          <w:tcPr>
            <w:tcW w:w="1458" w:type="dxa"/>
            <w:vAlign w:val="center"/>
          </w:tcPr>
          <w:p w14:paraId="64A12D4F" w14:textId="66C6A64E"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603 585,56</w:t>
            </w:r>
          </w:p>
        </w:tc>
        <w:tc>
          <w:tcPr>
            <w:tcW w:w="1458" w:type="dxa"/>
            <w:vAlign w:val="center"/>
          </w:tcPr>
          <w:p w14:paraId="165412D5" w14:textId="174364CB"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165 398,57</w:t>
            </w:r>
          </w:p>
        </w:tc>
      </w:tr>
      <w:tr w:rsidR="00F0151C" w:rsidRPr="00F0151C" w14:paraId="585E4E31" w14:textId="77777777" w:rsidTr="008029FC">
        <w:trPr>
          <w:trHeight w:val="227"/>
        </w:trPr>
        <w:tc>
          <w:tcPr>
            <w:tcW w:w="954" w:type="dxa"/>
            <w:vMerge/>
            <w:vAlign w:val="center"/>
          </w:tcPr>
          <w:p w14:paraId="22EC36AB" w14:textId="77777777" w:rsidR="008029FC" w:rsidRPr="00F0151C" w:rsidRDefault="008029FC" w:rsidP="00FA56E9">
            <w:pPr>
              <w:pStyle w:val="Domylnie"/>
              <w:spacing w:line="240" w:lineRule="auto"/>
              <w:jc w:val="center"/>
              <w:rPr>
                <w:rFonts w:ascii="Arial" w:hAnsi="Arial" w:cs="Arial"/>
                <w:color w:val="auto"/>
                <w:sz w:val="16"/>
                <w:szCs w:val="16"/>
                <w:lang w:val="pl-PL"/>
              </w:rPr>
            </w:pPr>
          </w:p>
        </w:tc>
        <w:tc>
          <w:tcPr>
            <w:tcW w:w="866" w:type="dxa"/>
            <w:vAlign w:val="center"/>
          </w:tcPr>
          <w:p w14:paraId="5AFA1470" w14:textId="280927CF" w:rsidR="008029FC" w:rsidRPr="00F0151C" w:rsidRDefault="008029FC" w:rsidP="00FA56E9">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4520</w:t>
            </w:r>
          </w:p>
        </w:tc>
        <w:tc>
          <w:tcPr>
            <w:tcW w:w="4271" w:type="dxa"/>
            <w:vAlign w:val="center"/>
          </w:tcPr>
          <w:p w14:paraId="46EEF01E" w14:textId="16E9BB3C" w:rsidR="008029FC" w:rsidRPr="00F0151C" w:rsidRDefault="008029FC" w:rsidP="00FA56E9">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 xml:space="preserve">Opłaty na rzecz budżetów </w:t>
            </w:r>
            <w:proofErr w:type="spellStart"/>
            <w:r w:rsidRPr="00F0151C">
              <w:rPr>
                <w:rFonts w:ascii="Arial" w:hAnsi="Arial" w:cs="Arial"/>
                <w:color w:val="auto"/>
                <w:sz w:val="16"/>
                <w:szCs w:val="16"/>
                <w:lang w:val="pl-PL"/>
              </w:rPr>
              <w:t>jst</w:t>
            </w:r>
            <w:proofErr w:type="spellEnd"/>
          </w:p>
        </w:tc>
        <w:tc>
          <w:tcPr>
            <w:tcW w:w="1458" w:type="dxa"/>
            <w:vAlign w:val="center"/>
          </w:tcPr>
          <w:p w14:paraId="577E8A29" w14:textId="66515166" w:rsidR="008029FC" w:rsidRPr="00F0151C" w:rsidRDefault="007214AC"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139 238,84</w:t>
            </w:r>
          </w:p>
        </w:tc>
        <w:tc>
          <w:tcPr>
            <w:tcW w:w="1458" w:type="dxa"/>
            <w:vAlign w:val="center"/>
          </w:tcPr>
          <w:p w14:paraId="2C8729E0" w14:textId="220CBD20" w:rsidR="008029FC" w:rsidRPr="00F0151C" w:rsidRDefault="00F261EF" w:rsidP="00FA56E9">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44 613,25</w:t>
            </w:r>
          </w:p>
        </w:tc>
      </w:tr>
      <w:tr w:rsidR="00F0151C" w:rsidRPr="00F0151C" w14:paraId="73984972" w14:textId="77777777" w:rsidTr="008029FC">
        <w:trPr>
          <w:trHeight w:val="227"/>
        </w:trPr>
        <w:tc>
          <w:tcPr>
            <w:tcW w:w="954" w:type="dxa"/>
            <w:vMerge/>
            <w:vAlign w:val="center"/>
          </w:tcPr>
          <w:p w14:paraId="34EA8325"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23B5F803" w14:textId="3DD83ED8"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4580</w:t>
            </w:r>
          </w:p>
        </w:tc>
        <w:tc>
          <w:tcPr>
            <w:tcW w:w="4271" w:type="dxa"/>
            <w:vAlign w:val="center"/>
          </w:tcPr>
          <w:p w14:paraId="16F84F34" w14:textId="30A87AB1"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Pozostałe odsetki</w:t>
            </w:r>
          </w:p>
        </w:tc>
        <w:tc>
          <w:tcPr>
            <w:tcW w:w="1458" w:type="dxa"/>
            <w:vAlign w:val="center"/>
          </w:tcPr>
          <w:p w14:paraId="4F0335A3" w14:textId="5A26A895"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12 050,00</w:t>
            </w:r>
          </w:p>
        </w:tc>
        <w:tc>
          <w:tcPr>
            <w:tcW w:w="1458" w:type="dxa"/>
            <w:vAlign w:val="center"/>
          </w:tcPr>
          <w:p w14:paraId="492D8D73" w14:textId="5EACA04F"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4FB22263" w14:textId="77777777" w:rsidTr="008029FC">
        <w:trPr>
          <w:trHeight w:val="227"/>
        </w:trPr>
        <w:tc>
          <w:tcPr>
            <w:tcW w:w="954" w:type="dxa"/>
            <w:vMerge/>
            <w:vAlign w:val="center"/>
          </w:tcPr>
          <w:p w14:paraId="34467DFF" w14:textId="2F5D10BE"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0F5C628D" w14:textId="7DC95209"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4610</w:t>
            </w:r>
          </w:p>
        </w:tc>
        <w:tc>
          <w:tcPr>
            <w:tcW w:w="4271" w:type="dxa"/>
            <w:vAlign w:val="center"/>
          </w:tcPr>
          <w:p w14:paraId="663D7690" w14:textId="557AA966"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Koszty postępowania sądowego i prokuratorskiego</w:t>
            </w:r>
          </w:p>
        </w:tc>
        <w:tc>
          <w:tcPr>
            <w:tcW w:w="1458" w:type="dxa"/>
            <w:vAlign w:val="center"/>
          </w:tcPr>
          <w:p w14:paraId="5EFA6D1E" w14:textId="3B10CD1D"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16 134,09</w:t>
            </w:r>
          </w:p>
        </w:tc>
        <w:tc>
          <w:tcPr>
            <w:tcW w:w="1458" w:type="dxa"/>
            <w:vAlign w:val="center"/>
          </w:tcPr>
          <w:p w14:paraId="48390CF0" w14:textId="0BC5CE7B"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7 759,11</w:t>
            </w:r>
          </w:p>
        </w:tc>
      </w:tr>
      <w:tr w:rsidR="00F0151C" w:rsidRPr="00F0151C" w14:paraId="15E9F233" w14:textId="77777777" w:rsidTr="008029FC">
        <w:trPr>
          <w:trHeight w:val="227"/>
        </w:trPr>
        <w:tc>
          <w:tcPr>
            <w:tcW w:w="954" w:type="dxa"/>
            <w:vMerge/>
            <w:vAlign w:val="center"/>
          </w:tcPr>
          <w:p w14:paraId="14E020F5"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755D0EBD" w14:textId="43B5CF8F"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6070</w:t>
            </w:r>
          </w:p>
        </w:tc>
        <w:tc>
          <w:tcPr>
            <w:tcW w:w="4271" w:type="dxa"/>
            <w:vAlign w:val="center"/>
          </w:tcPr>
          <w:p w14:paraId="0E0B5F03" w14:textId="3BEA6495"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 xml:space="preserve">Wydatki inwestycyjne </w:t>
            </w:r>
            <w:proofErr w:type="spellStart"/>
            <w:r w:rsidRPr="00F0151C">
              <w:rPr>
                <w:rFonts w:ascii="Arial" w:hAnsi="Arial" w:cs="Arial"/>
                <w:color w:val="auto"/>
                <w:sz w:val="16"/>
                <w:szCs w:val="16"/>
                <w:lang w:val="pl-PL"/>
              </w:rPr>
              <w:t>samorz</w:t>
            </w:r>
            <w:proofErr w:type="spellEnd"/>
            <w:r w:rsidR="007214AC" w:rsidRPr="00F0151C">
              <w:rPr>
                <w:rFonts w:ascii="Arial" w:hAnsi="Arial" w:cs="Arial"/>
                <w:color w:val="auto"/>
                <w:sz w:val="16"/>
                <w:szCs w:val="16"/>
                <w:lang w:val="pl-PL"/>
              </w:rPr>
              <w:t>.</w:t>
            </w:r>
            <w:r w:rsidRPr="00F0151C">
              <w:rPr>
                <w:rFonts w:ascii="Arial" w:hAnsi="Arial" w:cs="Arial"/>
                <w:color w:val="auto"/>
                <w:sz w:val="16"/>
                <w:szCs w:val="16"/>
                <w:lang w:val="pl-PL"/>
              </w:rPr>
              <w:t xml:space="preserve"> zakładów budżetowych</w:t>
            </w:r>
          </w:p>
        </w:tc>
        <w:tc>
          <w:tcPr>
            <w:tcW w:w="1458" w:type="dxa"/>
            <w:vAlign w:val="center"/>
          </w:tcPr>
          <w:p w14:paraId="6548B900" w14:textId="14241F01"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c>
          <w:tcPr>
            <w:tcW w:w="1458" w:type="dxa"/>
            <w:vAlign w:val="center"/>
          </w:tcPr>
          <w:p w14:paraId="31EE16B5" w14:textId="00473805"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43B649FC" w14:textId="77777777" w:rsidTr="008029FC">
        <w:trPr>
          <w:trHeight w:val="227"/>
        </w:trPr>
        <w:tc>
          <w:tcPr>
            <w:tcW w:w="954" w:type="dxa"/>
            <w:vMerge w:val="restart"/>
            <w:textDirection w:val="btLr"/>
            <w:vAlign w:val="center"/>
          </w:tcPr>
          <w:p w14:paraId="7975FCD5" w14:textId="4DF21BD9" w:rsidR="008029FC" w:rsidRPr="00F0151C" w:rsidRDefault="008029FC" w:rsidP="008029FC">
            <w:pPr>
              <w:pStyle w:val="Domylnie"/>
              <w:spacing w:line="240" w:lineRule="auto"/>
              <w:ind w:left="113" w:right="113"/>
              <w:jc w:val="center"/>
              <w:rPr>
                <w:rFonts w:ascii="Arial" w:hAnsi="Arial" w:cs="Arial"/>
                <w:color w:val="auto"/>
                <w:sz w:val="16"/>
                <w:szCs w:val="16"/>
                <w:lang w:val="pl-PL"/>
              </w:rPr>
            </w:pPr>
            <w:r w:rsidRPr="00F0151C">
              <w:rPr>
                <w:rFonts w:ascii="Arial" w:hAnsi="Arial" w:cs="Arial"/>
                <w:color w:val="auto"/>
                <w:sz w:val="16"/>
                <w:szCs w:val="16"/>
                <w:lang w:val="pl-PL"/>
              </w:rPr>
              <w:t>70007 - Gospodarowanie mieszkaniowym zasobem gminy</w:t>
            </w:r>
          </w:p>
        </w:tc>
        <w:tc>
          <w:tcPr>
            <w:tcW w:w="866" w:type="dxa"/>
            <w:vAlign w:val="center"/>
          </w:tcPr>
          <w:p w14:paraId="3E716599" w14:textId="7ED6B9F3"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4210</w:t>
            </w:r>
          </w:p>
        </w:tc>
        <w:tc>
          <w:tcPr>
            <w:tcW w:w="4271" w:type="dxa"/>
            <w:vAlign w:val="center"/>
          </w:tcPr>
          <w:p w14:paraId="1F537FEB" w14:textId="400C0D0A"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materiałów i wyposażenia</w:t>
            </w:r>
          </w:p>
        </w:tc>
        <w:tc>
          <w:tcPr>
            <w:tcW w:w="1458" w:type="dxa"/>
            <w:vAlign w:val="center"/>
          </w:tcPr>
          <w:p w14:paraId="615F0BF9" w14:textId="0C7BBA02"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124 167,02</w:t>
            </w:r>
          </w:p>
        </w:tc>
        <w:tc>
          <w:tcPr>
            <w:tcW w:w="1458" w:type="dxa"/>
            <w:vAlign w:val="center"/>
          </w:tcPr>
          <w:p w14:paraId="165B32BD" w14:textId="75E7AE54"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1F213325" w14:textId="77777777" w:rsidTr="008029FC">
        <w:trPr>
          <w:trHeight w:val="227"/>
        </w:trPr>
        <w:tc>
          <w:tcPr>
            <w:tcW w:w="954" w:type="dxa"/>
            <w:vMerge/>
            <w:vAlign w:val="center"/>
          </w:tcPr>
          <w:p w14:paraId="5B2B9BE8"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330908FF" w14:textId="749766A9"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4260</w:t>
            </w:r>
          </w:p>
        </w:tc>
        <w:tc>
          <w:tcPr>
            <w:tcW w:w="4271" w:type="dxa"/>
            <w:vAlign w:val="center"/>
          </w:tcPr>
          <w:p w14:paraId="7CAADFD2" w14:textId="2360A2FE"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energii</w:t>
            </w:r>
          </w:p>
        </w:tc>
        <w:tc>
          <w:tcPr>
            <w:tcW w:w="1458" w:type="dxa"/>
            <w:vAlign w:val="center"/>
          </w:tcPr>
          <w:p w14:paraId="42597C8A" w14:textId="24793FA5"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13 483 670,30</w:t>
            </w:r>
          </w:p>
        </w:tc>
        <w:tc>
          <w:tcPr>
            <w:tcW w:w="1458" w:type="dxa"/>
            <w:vAlign w:val="center"/>
          </w:tcPr>
          <w:p w14:paraId="7E0BA0B5" w14:textId="59811FFF"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4 634 008,73</w:t>
            </w:r>
          </w:p>
        </w:tc>
      </w:tr>
      <w:tr w:rsidR="00F0151C" w:rsidRPr="00F0151C" w14:paraId="10585339" w14:textId="77777777" w:rsidTr="008029FC">
        <w:trPr>
          <w:trHeight w:val="227"/>
        </w:trPr>
        <w:tc>
          <w:tcPr>
            <w:tcW w:w="954" w:type="dxa"/>
            <w:vMerge/>
            <w:vAlign w:val="center"/>
          </w:tcPr>
          <w:p w14:paraId="17115795"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0F59BA49" w14:textId="2FA190A9"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4270</w:t>
            </w:r>
          </w:p>
        </w:tc>
        <w:tc>
          <w:tcPr>
            <w:tcW w:w="4271" w:type="dxa"/>
            <w:vAlign w:val="center"/>
          </w:tcPr>
          <w:p w14:paraId="004C3D1E" w14:textId="3A18D8D7"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usług remontowych</w:t>
            </w:r>
          </w:p>
        </w:tc>
        <w:tc>
          <w:tcPr>
            <w:tcW w:w="1458" w:type="dxa"/>
            <w:vAlign w:val="center"/>
          </w:tcPr>
          <w:p w14:paraId="07D15D07" w14:textId="3854C88D"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4 121 166,99</w:t>
            </w:r>
          </w:p>
        </w:tc>
        <w:tc>
          <w:tcPr>
            <w:tcW w:w="1458" w:type="dxa"/>
            <w:vAlign w:val="center"/>
          </w:tcPr>
          <w:p w14:paraId="05EA80B5" w14:textId="0A5449B0"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796 932,47</w:t>
            </w:r>
          </w:p>
        </w:tc>
      </w:tr>
      <w:tr w:rsidR="00F0151C" w:rsidRPr="00F0151C" w14:paraId="02A9A738" w14:textId="77777777" w:rsidTr="008029FC">
        <w:trPr>
          <w:trHeight w:val="227"/>
        </w:trPr>
        <w:tc>
          <w:tcPr>
            <w:tcW w:w="954" w:type="dxa"/>
            <w:vMerge/>
            <w:vAlign w:val="center"/>
          </w:tcPr>
          <w:p w14:paraId="698249B2"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46521ED6" w14:textId="0F3E840B"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4300</w:t>
            </w:r>
          </w:p>
        </w:tc>
        <w:tc>
          <w:tcPr>
            <w:tcW w:w="4271" w:type="dxa"/>
            <w:vAlign w:val="center"/>
          </w:tcPr>
          <w:p w14:paraId="5775C42B" w14:textId="4AF556D7"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usług pozostałych</w:t>
            </w:r>
          </w:p>
        </w:tc>
        <w:tc>
          <w:tcPr>
            <w:tcW w:w="1458" w:type="dxa"/>
            <w:vAlign w:val="center"/>
          </w:tcPr>
          <w:p w14:paraId="5BF389F3" w14:textId="4F914CC1"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18 203 666,79</w:t>
            </w:r>
          </w:p>
        </w:tc>
        <w:tc>
          <w:tcPr>
            <w:tcW w:w="1458" w:type="dxa"/>
            <w:vAlign w:val="center"/>
          </w:tcPr>
          <w:p w14:paraId="2900116F" w14:textId="71A692A7"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4 761 812,32</w:t>
            </w:r>
          </w:p>
        </w:tc>
      </w:tr>
      <w:tr w:rsidR="00F0151C" w:rsidRPr="00F0151C" w14:paraId="03D47B7C" w14:textId="77777777" w:rsidTr="008029FC">
        <w:trPr>
          <w:trHeight w:val="227"/>
        </w:trPr>
        <w:tc>
          <w:tcPr>
            <w:tcW w:w="954" w:type="dxa"/>
            <w:vMerge/>
            <w:vAlign w:val="center"/>
          </w:tcPr>
          <w:p w14:paraId="1A49FA17"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230BFDE7" w14:textId="59384AC2"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4430</w:t>
            </w:r>
          </w:p>
        </w:tc>
        <w:tc>
          <w:tcPr>
            <w:tcW w:w="4271" w:type="dxa"/>
            <w:vAlign w:val="center"/>
          </w:tcPr>
          <w:p w14:paraId="1E184D94" w14:textId="0C848E5C"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Różne opłaty i składki</w:t>
            </w:r>
          </w:p>
        </w:tc>
        <w:tc>
          <w:tcPr>
            <w:tcW w:w="1458" w:type="dxa"/>
            <w:vAlign w:val="center"/>
          </w:tcPr>
          <w:p w14:paraId="2564E542" w14:textId="1541C4F2"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10 025,75</w:t>
            </w:r>
          </w:p>
        </w:tc>
        <w:tc>
          <w:tcPr>
            <w:tcW w:w="1458" w:type="dxa"/>
            <w:vAlign w:val="center"/>
          </w:tcPr>
          <w:p w14:paraId="2ABBDB30" w14:textId="21B70790"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9 925,53</w:t>
            </w:r>
          </w:p>
        </w:tc>
      </w:tr>
      <w:tr w:rsidR="00F0151C" w:rsidRPr="00F0151C" w14:paraId="28BFE747" w14:textId="77777777" w:rsidTr="008029FC">
        <w:trPr>
          <w:trHeight w:val="227"/>
        </w:trPr>
        <w:tc>
          <w:tcPr>
            <w:tcW w:w="954" w:type="dxa"/>
            <w:vMerge/>
            <w:vAlign w:val="center"/>
          </w:tcPr>
          <w:p w14:paraId="064C8F34"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421E7051" w14:textId="44F0E79B"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4480</w:t>
            </w:r>
          </w:p>
        </w:tc>
        <w:tc>
          <w:tcPr>
            <w:tcW w:w="4271" w:type="dxa"/>
            <w:vAlign w:val="center"/>
          </w:tcPr>
          <w:p w14:paraId="24C7B6A2" w14:textId="4C71761A"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Podatek od nieruchomości</w:t>
            </w:r>
          </w:p>
        </w:tc>
        <w:tc>
          <w:tcPr>
            <w:tcW w:w="1458" w:type="dxa"/>
            <w:vAlign w:val="center"/>
          </w:tcPr>
          <w:p w14:paraId="1CB62B36" w14:textId="66F2DFDB"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207 350,44</w:t>
            </w:r>
          </w:p>
        </w:tc>
        <w:tc>
          <w:tcPr>
            <w:tcW w:w="1458" w:type="dxa"/>
            <w:vAlign w:val="center"/>
          </w:tcPr>
          <w:p w14:paraId="13A47F9A" w14:textId="66EDD41F"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60 233,43</w:t>
            </w:r>
          </w:p>
        </w:tc>
      </w:tr>
      <w:tr w:rsidR="00F0151C" w:rsidRPr="00F0151C" w14:paraId="34F2BEAF" w14:textId="77777777" w:rsidTr="008029FC">
        <w:trPr>
          <w:trHeight w:val="227"/>
        </w:trPr>
        <w:tc>
          <w:tcPr>
            <w:tcW w:w="954" w:type="dxa"/>
            <w:vMerge/>
            <w:vAlign w:val="center"/>
          </w:tcPr>
          <w:p w14:paraId="6F93BDF8"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11EBB76D" w14:textId="5AE36422"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4520</w:t>
            </w:r>
          </w:p>
        </w:tc>
        <w:tc>
          <w:tcPr>
            <w:tcW w:w="4271" w:type="dxa"/>
            <w:vAlign w:val="center"/>
          </w:tcPr>
          <w:p w14:paraId="1AE88C78" w14:textId="4F01DA12"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 xml:space="preserve">Opłaty na rzecz budżetów </w:t>
            </w:r>
            <w:proofErr w:type="spellStart"/>
            <w:r w:rsidRPr="00F0151C">
              <w:rPr>
                <w:rFonts w:ascii="Arial" w:hAnsi="Arial" w:cs="Arial"/>
                <w:color w:val="auto"/>
                <w:sz w:val="16"/>
                <w:szCs w:val="16"/>
                <w:lang w:val="pl-PL"/>
              </w:rPr>
              <w:t>jst</w:t>
            </w:r>
            <w:proofErr w:type="spellEnd"/>
          </w:p>
        </w:tc>
        <w:tc>
          <w:tcPr>
            <w:tcW w:w="1458" w:type="dxa"/>
            <w:vAlign w:val="center"/>
          </w:tcPr>
          <w:p w14:paraId="66619016" w14:textId="0C9CE6A8"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313 501,90</w:t>
            </w:r>
          </w:p>
        </w:tc>
        <w:tc>
          <w:tcPr>
            <w:tcW w:w="1458" w:type="dxa"/>
            <w:vAlign w:val="center"/>
          </w:tcPr>
          <w:p w14:paraId="47E19A8C" w14:textId="5FB1AD06"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79 466,60</w:t>
            </w:r>
          </w:p>
        </w:tc>
      </w:tr>
      <w:tr w:rsidR="00F0151C" w:rsidRPr="00F0151C" w14:paraId="6F3BD833" w14:textId="77777777" w:rsidTr="008029FC">
        <w:trPr>
          <w:trHeight w:val="227"/>
        </w:trPr>
        <w:tc>
          <w:tcPr>
            <w:tcW w:w="954" w:type="dxa"/>
            <w:vMerge/>
            <w:vAlign w:val="center"/>
          </w:tcPr>
          <w:p w14:paraId="7FDE0993"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042255E6" w14:textId="30CF1D6F"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4580</w:t>
            </w:r>
          </w:p>
        </w:tc>
        <w:tc>
          <w:tcPr>
            <w:tcW w:w="4271" w:type="dxa"/>
            <w:vAlign w:val="center"/>
          </w:tcPr>
          <w:p w14:paraId="34461805" w14:textId="79DBB4F0"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Pozostałe odsetki</w:t>
            </w:r>
          </w:p>
        </w:tc>
        <w:tc>
          <w:tcPr>
            <w:tcW w:w="1458" w:type="dxa"/>
            <w:vAlign w:val="center"/>
          </w:tcPr>
          <w:p w14:paraId="00144BE4" w14:textId="6392369C"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0,22</w:t>
            </w:r>
          </w:p>
        </w:tc>
        <w:tc>
          <w:tcPr>
            <w:tcW w:w="1458" w:type="dxa"/>
            <w:vAlign w:val="center"/>
          </w:tcPr>
          <w:p w14:paraId="25B015AA" w14:textId="6223114E"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5CED8F10" w14:textId="77777777" w:rsidTr="008029FC">
        <w:trPr>
          <w:trHeight w:val="227"/>
        </w:trPr>
        <w:tc>
          <w:tcPr>
            <w:tcW w:w="954" w:type="dxa"/>
            <w:vMerge/>
            <w:vAlign w:val="center"/>
          </w:tcPr>
          <w:p w14:paraId="5EF47F5C"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64C6D877" w14:textId="202FBF57"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4590</w:t>
            </w:r>
          </w:p>
        </w:tc>
        <w:tc>
          <w:tcPr>
            <w:tcW w:w="4271" w:type="dxa"/>
            <w:vAlign w:val="center"/>
          </w:tcPr>
          <w:p w14:paraId="3B6B4A96" w14:textId="40EF1420"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Kary i odszkodowania wypłacane na rzecz osób fizycznych</w:t>
            </w:r>
          </w:p>
        </w:tc>
        <w:tc>
          <w:tcPr>
            <w:tcW w:w="1458" w:type="dxa"/>
            <w:vAlign w:val="center"/>
          </w:tcPr>
          <w:p w14:paraId="1E1931EA" w14:textId="0335EF0D"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25 625,14</w:t>
            </w:r>
          </w:p>
        </w:tc>
        <w:tc>
          <w:tcPr>
            <w:tcW w:w="1458" w:type="dxa"/>
            <w:vAlign w:val="center"/>
          </w:tcPr>
          <w:p w14:paraId="479C942E" w14:textId="0ECDBF77"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1 678,56</w:t>
            </w:r>
          </w:p>
        </w:tc>
      </w:tr>
      <w:tr w:rsidR="00F0151C" w:rsidRPr="00F0151C" w14:paraId="43432A19" w14:textId="77777777" w:rsidTr="008029FC">
        <w:trPr>
          <w:trHeight w:val="227"/>
        </w:trPr>
        <w:tc>
          <w:tcPr>
            <w:tcW w:w="954" w:type="dxa"/>
            <w:vMerge/>
            <w:vAlign w:val="center"/>
          </w:tcPr>
          <w:p w14:paraId="394BE251"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2F360150" w14:textId="378F4C29"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4610</w:t>
            </w:r>
          </w:p>
        </w:tc>
        <w:tc>
          <w:tcPr>
            <w:tcW w:w="4271" w:type="dxa"/>
            <w:vAlign w:val="center"/>
          </w:tcPr>
          <w:p w14:paraId="45DD2344" w14:textId="625B4E32"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Koszty postępowania sądowego i prokuratorskiego</w:t>
            </w:r>
          </w:p>
        </w:tc>
        <w:tc>
          <w:tcPr>
            <w:tcW w:w="1458" w:type="dxa"/>
            <w:vAlign w:val="center"/>
          </w:tcPr>
          <w:p w14:paraId="4F9ED34D" w14:textId="383943D8"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401 307,09</w:t>
            </w:r>
          </w:p>
        </w:tc>
        <w:tc>
          <w:tcPr>
            <w:tcW w:w="1458" w:type="dxa"/>
            <w:vAlign w:val="center"/>
          </w:tcPr>
          <w:p w14:paraId="1B1D0485" w14:textId="2E00E2B5"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68 449,72</w:t>
            </w:r>
          </w:p>
        </w:tc>
      </w:tr>
      <w:tr w:rsidR="00F0151C" w:rsidRPr="00F0151C" w14:paraId="6B9E3B2C" w14:textId="77777777" w:rsidTr="008029FC">
        <w:trPr>
          <w:trHeight w:val="227"/>
        </w:trPr>
        <w:tc>
          <w:tcPr>
            <w:tcW w:w="954" w:type="dxa"/>
            <w:vMerge/>
            <w:vAlign w:val="center"/>
          </w:tcPr>
          <w:p w14:paraId="34E93A1E"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7267595A" w14:textId="683508E7" w:rsidR="008029FC" w:rsidRPr="00F0151C" w:rsidRDefault="008029F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6070</w:t>
            </w:r>
          </w:p>
        </w:tc>
        <w:tc>
          <w:tcPr>
            <w:tcW w:w="4271" w:type="dxa"/>
            <w:vAlign w:val="center"/>
          </w:tcPr>
          <w:p w14:paraId="01DBC457" w14:textId="4354576F"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 xml:space="preserve">Wydatki inwestycyjne </w:t>
            </w:r>
            <w:proofErr w:type="spellStart"/>
            <w:r w:rsidRPr="00F0151C">
              <w:rPr>
                <w:rFonts w:ascii="Arial" w:hAnsi="Arial" w:cs="Arial"/>
                <w:color w:val="auto"/>
                <w:sz w:val="16"/>
                <w:szCs w:val="16"/>
                <w:lang w:val="pl-PL"/>
              </w:rPr>
              <w:t>samorz</w:t>
            </w:r>
            <w:proofErr w:type="spellEnd"/>
            <w:r w:rsidR="007214AC" w:rsidRPr="00F0151C">
              <w:rPr>
                <w:rFonts w:ascii="Arial" w:hAnsi="Arial" w:cs="Arial"/>
                <w:color w:val="auto"/>
                <w:sz w:val="16"/>
                <w:szCs w:val="16"/>
                <w:lang w:val="pl-PL"/>
              </w:rPr>
              <w:t>.</w:t>
            </w:r>
            <w:r w:rsidRPr="00F0151C">
              <w:rPr>
                <w:rFonts w:ascii="Arial" w:hAnsi="Arial" w:cs="Arial"/>
                <w:color w:val="auto"/>
                <w:sz w:val="16"/>
                <w:szCs w:val="16"/>
                <w:lang w:val="pl-PL"/>
              </w:rPr>
              <w:t xml:space="preserve"> zakładów budżetowych</w:t>
            </w:r>
          </w:p>
        </w:tc>
        <w:tc>
          <w:tcPr>
            <w:tcW w:w="1458" w:type="dxa"/>
            <w:vAlign w:val="center"/>
          </w:tcPr>
          <w:p w14:paraId="6707EDC8" w14:textId="040A0D64"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285 227,02</w:t>
            </w:r>
          </w:p>
        </w:tc>
        <w:tc>
          <w:tcPr>
            <w:tcW w:w="1458" w:type="dxa"/>
            <w:vAlign w:val="center"/>
          </w:tcPr>
          <w:p w14:paraId="363A09FF" w14:textId="56EB516C"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1 412,72</w:t>
            </w:r>
          </w:p>
        </w:tc>
      </w:tr>
      <w:tr w:rsidR="00F0151C" w:rsidRPr="00F0151C" w14:paraId="76ECDD50" w14:textId="77777777" w:rsidTr="008029FC">
        <w:trPr>
          <w:trHeight w:val="227"/>
        </w:trPr>
        <w:tc>
          <w:tcPr>
            <w:tcW w:w="954" w:type="dxa"/>
            <w:vAlign w:val="center"/>
          </w:tcPr>
          <w:p w14:paraId="36DB4447" w14:textId="3BFCF733" w:rsidR="008029FC" w:rsidRPr="00F0151C" w:rsidRDefault="007214A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92106</w:t>
            </w:r>
          </w:p>
        </w:tc>
        <w:tc>
          <w:tcPr>
            <w:tcW w:w="866" w:type="dxa"/>
            <w:vAlign w:val="center"/>
          </w:tcPr>
          <w:p w14:paraId="14D73049" w14:textId="09357C8B" w:rsidR="008029FC" w:rsidRPr="00F0151C" w:rsidRDefault="007214A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6070</w:t>
            </w:r>
          </w:p>
        </w:tc>
        <w:tc>
          <w:tcPr>
            <w:tcW w:w="4271" w:type="dxa"/>
            <w:vAlign w:val="center"/>
          </w:tcPr>
          <w:p w14:paraId="1E6427DB" w14:textId="20B0D771" w:rsidR="008029FC" w:rsidRPr="00F0151C" w:rsidRDefault="007214A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 xml:space="preserve">Wydatki inwestycyjne </w:t>
            </w:r>
            <w:proofErr w:type="spellStart"/>
            <w:r w:rsidRPr="00F0151C">
              <w:rPr>
                <w:rFonts w:ascii="Arial" w:hAnsi="Arial" w:cs="Arial"/>
                <w:color w:val="auto"/>
                <w:sz w:val="16"/>
                <w:szCs w:val="16"/>
                <w:lang w:val="pl-PL"/>
              </w:rPr>
              <w:t>samorz</w:t>
            </w:r>
            <w:proofErr w:type="spellEnd"/>
            <w:r w:rsidRPr="00F0151C">
              <w:rPr>
                <w:rFonts w:ascii="Arial" w:hAnsi="Arial" w:cs="Arial"/>
                <w:color w:val="auto"/>
                <w:sz w:val="16"/>
                <w:szCs w:val="16"/>
                <w:lang w:val="pl-PL"/>
              </w:rPr>
              <w:t>. zakładów budżetowych</w:t>
            </w:r>
          </w:p>
        </w:tc>
        <w:tc>
          <w:tcPr>
            <w:tcW w:w="1458" w:type="dxa"/>
            <w:vAlign w:val="center"/>
          </w:tcPr>
          <w:p w14:paraId="0359AD0B" w14:textId="594356F0"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7 317,07</w:t>
            </w:r>
          </w:p>
        </w:tc>
        <w:tc>
          <w:tcPr>
            <w:tcW w:w="1458" w:type="dxa"/>
            <w:vAlign w:val="center"/>
          </w:tcPr>
          <w:p w14:paraId="2250201E" w14:textId="234190FA"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717BBBD9" w14:textId="77777777" w:rsidTr="008029FC">
        <w:trPr>
          <w:trHeight w:val="227"/>
        </w:trPr>
        <w:tc>
          <w:tcPr>
            <w:tcW w:w="954" w:type="dxa"/>
            <w:vAlign w:val="center"/>
          </w:tcPr>
          <w:p w14:paraId="55D7DBB1" w14:textId="06EDEE60" w:rsidR="007214AC" w:rsidRPr="00F0151C" w:rsidRDefault="007214A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92114</w:t>
            </w:r>
          </w:p>
        </w:tc>
        <w:tc>
          <w:tcPr>
            <w:tcW w:w="866" w:type="dxa"/>
            <w:vAlign w:val="center"/>
          </w:tcPr>
          <w:p w14:paraId="5514064B" w14:textId="1CF00310" w:rsidR="007214AC" w:rsidRPr="00F0151C" w:rsidRDefault="007214A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6070</w:t>
            </w:r>
          </w:p>
        </w:tc>
        <w:tc>
          <w:tcPr>
            <w:tcW w:w="4271" w:type="dxa"/>
            <w:vAlign w:val="center"/>
          </w:tcPr>
          <w:p w14:paraId="7C4241C9" w14:textId="3B45D97A" w:rsidR="007214AC" w:rsidRPr="00F0151C" w:rsidRDefault="007214A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 xml:space="preserve">Wydatki inwestycyjne </w:t>
            </w:r>
            <w:proofErr w:type="spellStart"/>
            <w:r w:rsidRPr="00F0151C">
              <w:rPr>
                <w:rFonts w:ascii="Arial" w:hAnsi="Arial" w:cs="Arial"/>
                <w:color w:val="auto"/>
                <w:sz w:val="16"/>
                <w:szCs w:val="16"/>
                <w:lang w:val="pl-PL"/>
              </w:rPr>
              <w:t>samorz</w:t>
            </w:r>
            <w:proofErr w:type="spellEnd"/>
            <w:r w:rsidRPr="00F0151C">
              <w:rPr>
                <w:rFonts w:ascii="Arial" w:hAnsi="Arial" w:cs="Arial"/>
                <w:color w:val="auto"/>
                <w:sz w:val="16"/>
                <w:szCs w:val="16"/>
                <w:lang w:val="pl-PL"/>
              </w:rPr>
              <w:t>. zakładów budżetowych</w:t>
            </w:r>
          </w:p>
        </w:tc>
        <w:tc>
          <w:tcPr>
            <w:tcW w:w="1458" w:type="dxa"/>
            <w:vAlign w:val="center"/>
          </w:tcPr>
          <w:p w14:paraId="14E2B45B" w14:textId="46B1FFB7" w:rsidR="007214A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2 227,88</w:t>
            </w:r>
          </w:p>
        </w:tc>
        <w:tc>
          <w:tcPr>
            <w:tcW w:w="1458" w:type="dxa"/>
            <w:vAlign w:val="center"/>
          </w:tcPr>
          <w:p w14:paraId="582DD61B" w14:textId="2F7CB65A" w:rsidR="007214A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235A1523" w14:textId="77777777" w:rsidTr="008029FC">
        <w:trPr>
          <w:trHeight w:val="227"/>
        </w:trPr>
        <w:tc>
          <w:tcPr>
            <w:tcW w:w="954" w:type="dxa"/>
            <w:vAlign w:val="center"/>
          </w:tcPr>
          <w:p w14:paraId="76651203" w14:textId="7993A7F7" w:rsidR="007214AC" w:rsidRPr="00F0151C" w:rsidRDefault="007214A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92118</w:t>
            </w:r>
          </w:p>
        </w:tc>
        <w:tc>
          <w:tcPr>
            <w:tcW w:w="866" w:type="dxa"/>
            <w:vAlign w:val="center"/>
          </w:tcPr>
          <w:p w14:paraId="1E710131" w14:textId="5EDFB280" w:rsidR="007214AC" w:rsidRPr="00F0151C" w:rsidRDefault="007214AC" w:rsidP="008029FC">
            <w:pPr>
              <w:pStyle w:val="Domylnie"/>
              <w:spacing w:line="240" w:lineRule="auto"/>
              <w:jc w:val="center"/>
              <w:rPr>
                <w:rFonts w:ascii="Arial" w:hAnsi="Arial" w:cs="Arial"/>
                <w:color w:val="auto"/>
                <w:sz w:val="16"/>
                <w:szCs w:val="16"/>
                <w:lang w:val="pl-PL"/>
              </w:rPr>
            </w:pPr>
            <w:r w:rsidRPr="00F0151C">
              <w:rPr>
                <w:rFonts w:ascii="Arial" w:hAnsi="Arial" w:cs="Arial"/>
                <w:color w:val="auto"/>
                <w:sz w:val="16"/>
                <w:szCs w:val="16"/>
                <w:lang w:val="pl-PL"/>
              </w:rPr>
              <w:t>4270</w:t>
            </w:r>
          </w:p>
        </w:tc>
        <w:tc>
          <w:tcPr>
            <w:tcW w:w="4271" w:type="dxa"/>
            <w:vAlign w:val="center"/>
          </w:tcPr>
          <w:p w14:paraId="70477144" w14:textId="531142DF" w:rsidR="007214AC" w:rsidRPr="00F0151C" w:rsidRDefault="007214A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Zakup usług remontowych</w:t>
            </w:r>
          </w:p>
        </w:tc>
        <w:tc>
          <w:tcPr>
            <w:tcW w:w="1458" w:type="dxa"/>
            <w:vAlign w:val="center"/>
          </w:tcPr>
          <w:p w14:paraId="7FD12DF1" w14:textId="05753912" w:rsidR="007214A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91 022,39</w:t>
            </w:r>
          </w:p>
        </w:tc>
        <w:tc>
          <w:tcPr>
            <w:tcW w:w="1458" w:type="dxa"/>
            <w:vAlign w:val="center"/>
          </w:tcPr>
          <w:p w14:paraId="16DC7AA7" w14:textId="0171110D" w:rsidR="007214A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64BCD548" w14:textId="77777777" w:rsidTr="008029FC">
        <w:trPr>
          <w:trHeight w:val="227"/>
        </w:trPr>
        <w:tc>
          <w:tcPr>
            <w:tcW w:w="954" w:type="dxa"/>
            <w:vAlign w:val="center"/>
          </w:tcPr>
          <w:p w14:paraId="3E68720B" w14:textId="77777777" w:rsidR="007214AC" w:rsidRPr="00F0151C" w:rsidRDefault="007214AC" w:rsidP="008029FC">
            <w:pPr>
              <w:pStyle w:val="Domylnie"/>
              <w:spacing w:line="240" w:lineRule="auto"/>
              <w:jc w:val="center"/>
              <w:rPr>
                <w:rFonts w:ascii="Arial" w:hAnsi="Arial" w:cs="Arial"/>
                <w:color w:val="auto"/>
                <w:sz w:val="16"/>
                <w:szCs w:val="16"/>
                <w:lang w:val="pl-PL"/>
              </w:rPr>
            </w:pPr>
          </w:p>
        </w:tc>
        <w:tc>
          <w:tcPr>
            <w:tcW w:w="866" w:type="dxa"/>
            <w:vAlign w:val="center"/>
          </w:tcPr>
          <w:p w14:paraId="47EBD275" w14:textId="77777777" w:rsidR="007214AC" w:rsidRPr="00F0151C" w:rsidRDefault="007214AC" w:rsidP="008029FC">
            <w:pPr>
              <w:pStyle w:val="Domylnie"/>
              <w:spacing w:line="240" w:lineRule="auto"/>
              <w:jc w:val="center"/>
              <w:rPr>
                <w:rFonts w:ascii="Arial" w:hAnsi="Arial" w:cs="Arial"/>
                <w:color w:val="auto"/>
                <w:sz w:val="16"/>
                <w:szCs w:val="16"/>
                <w:lang w:val="pl-PL"/>
              </w:rPr>
            </w:pPr>
          </w:p>
        </w:tc>
        <w:tc>
          <w:tcPr>
            <w:tcW w:w="4271" w:type="dxa"/>
            <w:vAlign w:val="center"/>
          </w:tcPr>
          <w:p w14:paraId="3CF5B0C4" w14:textId="2812D94D" w:rsidR="007214AC" w:rsidRPr="00F0151C" w:rsidRDefault="007214A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Środki własne zarezerwowane na inwestycje</w:t>
            </w:r>
          </w:p>
        </w:tc>
        <w:tc>
          <w:tcPr>
            <w:tcW w:w="1458" w:type="dxa"/>
            <w:vAlign w:val="center"/>
          </w:tcPr>
          <w:p w14:paraId="388B1603" w14:textId="144790B2" w:rsidR="007214A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259 426,00</w:t>
            </w:r>
          </w:p>
        </w:tc>
        <w:tc>
          <w:tcPr>
            <w:tcW w:w="1458" w:type="dxa"/>
            <w:vAlign w:val="center"/>
          </w:tcPr>
          <w:p w14:paraId="4AD83D84" w14:textId="4401579E" w:rsidR="007214A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2D63908B" w14:textId="77777777" w:rsidTr="008029FC">
        <w:trPr>
          <w:trHeight w:val="227"/>
        </w:trPr>
        <w:tc>
          <w:tcPr>
            <w:tcW w:w="954" w:type="dxa"/>
            <w:vAlign w:val="center"/>
          </w:tcPr>
          <w:p w14:paraId="794627B5"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136E4976"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4271" w:type="dxa"/>
            <w:vAlign w:val="center"/>
          </w:tcPr>
          <w:p w14:paraId="0904ED57" w14:textId="3E5770AE"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Odpisy amortyzacyjne</w:t>
            </w:r>
          </w:p>
        </w:tc>
        <w:tc>
          <w:tcPr>
            <w:tcW w:w="1458" w:type="dxa"/>
            <w:vAlign w:val="center"/>
          </w:tcPr>
          <w:p w14:paraId="1D11E24C" w14:textId="2C3DE36E"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6 108 917,73</w:t>
            </w:r>
          </w:p>
        </w:tc>
        <w:tc>
          <w:tcPr>
            <w:tcW w:w="1458" w:type="dxa"/>
            <w:vAlign w:val="center"/>
          </w:tcPr>
          <w:p w14:paraId="52234038" w14:textId="2FC7735D"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1 614 934,96</w:t>
            </w:r>
          </w:p>
        </w:tc>
      </w:tr>
      <w:tr w:rsidR="00F0151C" w:rsidRPr="00F0151C" w14:paraId="495FE12A" w14:textId="77777777" w:rsidTr="008029FC">
        <w:trPr>
          <w:trHeight w:val="227"/>
        </w:trPr>
        <w:tc>
          <w:tcPr>
            <w:tcW w:w="954" w:type="dxa"/>
            <w:vAlign w:val="center"/>
          </w:tcPr>
          <w:p w14:paraId="31271C1D"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446E4127"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4271" w:type="dxa"/>
            <w:vAlign w:val="center"/>
          </w:tcPr>
          <w:p w14:paraId="54C64CFC" w14:textId="1AA3EAC0"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Inne zmniejszenia</w:t>
            </w:r>
          </w:p>
        </w:tc>
        <w:tc>
          <w:tcPr>
            <w:tcW w:w="1458" w:type="dxa"/>
            <w:vAlign w:val="center"/>
          </w:tcPr>
          <w:p w14:paraId="568434E4" w14:textId="3611B522"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65 587,09</w:t>
            </w:r>
          </w:p>
        </w:tc>
        <w:tc>
          <w:tcPr>
            <w:tcW w:w="1458" w:type="dxa"/>
            <w:vAlign w:val="center"/>
          </w:tcPr>
          <w:p w14:paraId="28EDE466" w14:textId="5EF5523B"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300 876,73</w:t>
            </w:r>
          </w:p>
        </w:tc>
      </w:tr>
      <w:tr w:rsidR="00F0151C" w:rsidRPr="00F0151C" w14:paraId="205D713B" w14:textId="77777777" w:rsidTr="008029FC">
        <w:trPr>
          <w:trHeight w:val="227"/>
        </w:trPr>
        <w:tc>
          <w:tcPr>
            <w:tcW w:w="954" w:type="dxa"/>
            <w:vAlign w:val="center"/>
          </w:tcPr>
          <w:p w14:paraId="03721A0B"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4B5DD357"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4271" w:type="dxa"/>
            <w:vAlign w:val="center"/>
          </w:tcPr>
          <w:p w14:paraId="6981850C" w14:textId="1D7185DE"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Podatek dochodowy od osób prawnych</w:t>
            </w:r>
          </w:p>
        </w:tc>
        <w:tc>
          <w:tcPr>
            <w:tcW w:w="1458" w:type="dxa"/>
            <w:vAlign w:val="center"/>
          </w:tcPr>
          <w:p w14:paraId="28DA1266" w14:textId="382BDCA0"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c>
          <w:tcPr>
            <w:tcW w:w="1458" w:type="dxa"/>
            <w:vAlign w:val="center"/>
          </w:tcPr>
          <w:p w14:paraId="5100A241" w14:textId="03465523"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3 293,00</w:t>
            </w:r>
          </w:p>
        </w:tc>
      </w:tr>
      <w:tr w:rsidR="00F0151C" w:rsidRPr="00F0151C" w14:paraId="66E5E5CA" w14:textId="77777777" w:rsidTr="008029FC">
        <w:trPr>
          <w:trHeight w:val="227"/>
        </w:trPr>
        <w:tc>
          <w:tcPr>
            <w:tcW w:w="954" w:type="dxa"/>
            <w:vAlign w:val="center"/>
          </w:tcPr>
          <w:p w14:paraId="371A4FC8"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07737251"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4271" w:type="dxa"/>
            <w:vAlign w:val="center"/>
          </w:tcPr>
          <w:p w14:paraId="72F54BEA" w14:textId="27295F61"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Wpłata do budżetu nadwyżki środków obrotowych</w:t>
            </w:r>
          </w:p>
        </w:tc>
        <w:tc>
          <w:tcPr>
            <w:tcW w:w="1458" w:type="dxa"/>
            <w:vAlign w:val="center"/>
          </w:tcPr>
          <w:p w14:paraId="476E3C94" w14:textId="4E93A114"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763 375,41</w:t>
            </w:r>
          </w:p>
        </w:tc>
        <w:tc>
          <w:tcPr>
            <w:tcW w:w="1458" w:type="dxa"/>
            <w:vAlign w:val="center"/>
          </w:tcPr>
          <w:p w14:paraId="6B16DB3F" w14:textId="2AFC273F"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0,00</w:t>
            </w:r>
          </w:p>
        </w:tc>
      </w:tr>
      <w:tr w:rsidR="00F0151C" w:rsidRPr="00F0151C" w14:paraId="393E4AFD" w14:textId="77777777" w:rsidTr="008029FC">
        <w:trPr>
          <w:trHeight w:val="227"/>
        </w:trPr>
        <w:tc>
          <w:tcPr>
            <w:tcW w:w="954" w:type="dxa"/>
            <w:vAlign w:val="center"/>
          </w:tcPr>
          <w:p w14:paraId="39B918E2"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866" w:type="dxa"/>
            <w:vAlign w:val="center"/>
          </w:tcPr>
          <w:p w14:paraId="0CFC5CC3" w14:textId="77777777" w:rsidR="008029FC" w:rsidRPr="00F0151C" w:rsidRDefault="008029FC" w:rsidP="008029FC">
            <w:pPr>
              <w:pStyle w:val="Domylnie"/>
              <w:spacing w:line="240" w:lineRule="auto"/>
              <w:jc w:val="center"/>
              <w:rPr>
                <w:rFonts w:ascii="Arial" w:hAnsi="Arial" w:cs="Arial"/>
                <w:color w:val="auto"/>
                <w:sz w:val="16"/>
                <w:szCs w:val="16"/>
                <w:lang w:val="pl-PL"/>
              </w:rPr>
            </w:pPr>
          </w:p>
        </w:tc>
        <w:tc>
          <w:tcPr>
            <w:tcW w:w="4271" w:type="dxa"/>
            <w:vAlign w:val="center"/>
          </w:tcPr>
          <w:p w14:paraId="487F6354" w14:textId="2AE29F3E" w:rsidR="008029FC" w:rsidRPr="00F0151C" w:rsidRDefault="008029FC" w:rsidP="008029FC">
            <w:pPr>
              <w:pStyle w:val="Domylnie"/>
              <w:spacing w:line="240" w:lineRule="auto"/>
              <w:rPr>
                <w:rFonts w:ascii="Arial" w:hAnsi="Arial" w:cs="Arial"/>
                <w:color w:val="auto"/>
                <w:sz w:val="16"/>
                <w:szCs w:val="16"/>
                <w:lang w:val="pl-PL"/>
              </w:rPr>
            </w:pPr>
            <w:r w:rsidRPr="00F0151C">
              <w:rPr>
                <w:rFonts w:ascii="Arial" w:hAnsi="Arial" w:cs="Arial"/>
                <w:color w:val="auto"/>
                <w:sz w:val="16"/>
                <w:szCs w:val="16"/>
                <w:lang w:val="pl-PL"/>
              </w:rPr>
              <w:t>Stan środków obrotowych netto na koniec okresu sprawozdawczego</w:t>
            </w:r>
          </w:p>
        </w:tc>
        <w:tc>
          <w:tcPr>
            <w:tcW w:w="1458" w:type="dxa"/>
            <w:vAlign w:val="center"/>
          </w:tcPr>
          <w:p w14:paraId="5A127A16" w14:textId="7814B832" w:rsidR="008029FC" w:rsidRPr="00F0151C" w:rsidRDefault="007214AC"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1 301 663,00</w:t>
            </w:r>
          </w:p>
        </w:tc>
        <w:tc>
          <w:tcPr>
            <w:tcW w:w="1458" w:type="dxa"/>
            <w:vAlign w:val="center"/>
          </w:tcPr>
          <w:p w14:paraId="11E27F67" w14:textId="0E9D1EBB" w:rsidR="008029FC" w:rsidRPr="00F0151C" w:rsidRDefault="00F261EF" w:rsidP="008029FC">
            <w:pPr>
              <w:pStyle w:val="Domylnie"/>
              <w:spacing w:line="240" w:lineRule="auto"/>
              <w:jc w:val="right"/>
              <w:rPr>
                <w:rFonts w:ascii="Arial" w:hAnsi="Arial" w:cs="Arial"/>
                <w:color w:val="auto"/>
                <w:sz w:val="16"/>
                <w:szCs w:val="16"/>
                <w:lang w:val="pl-PL"/>
              </w:rPr>
            </w:pPr>
            <w:r w:rsidRPr="00F0151C">
              <w:rPr>
                <w:rFonts w:ascii="Arial" w:hAnsi="Arial" w:cs="Arial"/>
                <w:color w:val="auto"/>
                <w:sz w:val="16"/>
                <w:szCs w:val="16"/>
                <w:lang w:val="pl-PL"/>
              </w:rPr>
              <w:t>513 844,53</w:t>
            </w:r>
          </w:p>
        </w:tc>
      </w:tr>
      <w:tr w:rsidR="00F0151C" w:rsidRPr="00F0151C" w14:paraId="068328FE" w14:textId="77777777" w:rsidTr="008029FC">
        <w:trPr>
          <w:trHeight w:val="227"/>
        </w:trPr>
        <w:tc>
          <w:tcPr>
            <w:tcW w:w="954" w:type="dxa"/>
            <w:shd w:val="clear" w:color="auto" w:fill="F2F2F2" w:themeFill="background1" w:themeFillShade="F2"/>
            <w:vAlign w:val="center"/>
          </w:tcPr>
          <w:p w14:paraId="65E201E7" w14:textId="77777777" w:rsidR="008029FC" w:rsidRPr="00F0151C" w:rsidRDefault="008029FC" w:rsidP="008029FC">
            <w:pPr>
              <w:pStyle w:val="Domylnie"/>
              <w:spacing w:line="240" w:lineRule="auto"/>
              <w:jc w:val="center"/>
              <w:rPr>
                <w:rFonts w:ascii="Arial" w:hAnsi="Arial" w:cs="Arial"/>
                <w:b/>
                <w:bCs/>
                <w:color w:val="auto"/>
                <w:sz w:val="16"/>
                <w:szCs w:val="16"/>
                <w:lang w:val="pl-PL"/>
              </w:rPr>
            </w:pPr>
          </w:p>
        </w:tc>
        <w:tc>
          <w:tcPr>
            <w:tcW w:w="866" w:type="dxa"/>
            <w:shd w:val="clear" w:color="auto" w:fill="F2F2F2" w:themeFill="background1" w:themeFillShade="F2"/>
            <w:vAlign w:val="center"/>
          </w:tcPr>
          <w:p w14:paraId="2A6FF1FB" w14:textId="77777777" w:rsidR="008029FC" w:rsidRPr="00F0151C" w:rsidRDefault="008029FC" w:rsidP="008029FC">
            <w:pPr>
              <w:pStyle w:val="Domylnie"/>
              <w:spacing w:line="240" w:lineRule="auto"/>
              <w:jc w:val="center"/>
              <w:rPr>
                <w:rFonts w:ascii="Arial" w:hAnsi="Arial" w:cs="Arial"/>
                <w:b/>
                <w:bCs/>
                <w:color w:val="auto"/>
                <w:sz w:val="16"/>
                <w:szCs w:val="16"/>
                <w:lang w:val="pl-PL"/>
              </w:rPr>
            </w:pPr>
          </w:p>
        </w:tc>
        <w:tc>
          <w:tcPr>
            <w:tcW w:w="4271" w:type="dxa"/>
            <w:shd w:val="clear" w:color="auto" w:fill="F2F2F2" w:themeFill="background1" w:themeFillShade="F2"/>
            <w:vAlign w:val="center"/>
          </w:tcPr>
          <w:p w14:paraId="23A2F5B7" w14:textId="3E35928E" w:rsidR="008029FC" w:rsidRPr="00F0151C" w:rsidRDefault="008029FC" w:rsidP="008029FC">
            <w:pPr>
              <w:pStyle w:val="Domylnie"/>
              <w:spacing w:line="240" w:lineRule="auto"/>
              <w:jc w:val="right"/>
              <w:rPr>
                <w:rFonts w:ascii="Arial" w:hAnsi="Arial" w:cs="Arial"/>
                <w:b/>
                <w:bCs/>
                <w:color w:val="auto"/>
                <w:sz w:val="16"/>
                <w:szCs w:val="16"/>
                <w:lang w:val="pl-PL"/>
              </w:rPr>
            </w:pPr>
            <w:r w:rsidRPr="00F0151C">
              <w:rPr>
                <w:rFonts w:ascii="Arial" w:hAnsi="Arial" w:cs="Arial"/>
                <w:b/>
                <w:bCs/>
                <w:color w:val="auto"/>
                <w:sz w:val="16"/>
                <w:szCs w:val="16"/>
                <w:lang w:val="pl-PL"/>
              </w:rPr>
              <w:t>OGÓŁEM:</w:t>
            </w:r>
          </w:p>
        </w:tc>
        <w:tc>
          <w:tcPr>
            <w:tcW w:w="1458" w:type="dxa"/>
            <w:shd w:val="clear" w:color="auto" w:fill="F2F2F2" w:themeFill="background1" w:themeFillShade="F2"/>
            <w:vAlign w:val="center"/>
          </w:tcPr>
          <w:p w14:paraId="3DB9248E" w14:textId="40B31DBC" w:rsidR="008029FC" w:rsidRPr="00F0151C" w:rsidRDefault="007214AC" w:rsidP="008029FC">
            <w:pPr>
              <w:pStyle w:val="Domylnie"/>
              <w:spacing w:line="240" w:lineRule="auto"/>
              <w:jc w:val="right"/>
              <w:rPr>
                <w:rFonts w:ascii="Arial" w:hAnsi="Arial" w:cs="Arial"/>
                <w:b/>
                <w:bCs/>
                <w:color w:val="auto"/>
                <w:sz w:val="16"/>
                <w:szCs w:val="16"/>
                <w:lang w:val="pl-PL"/>
              </w:rPr>
            </w:pPr>
            <w:r w:rsidRPr="00F0151C">
              <w:rPr>
                <w:rFonts w:ascii="Arial" w:hAnsi="Arial" w:cs="Arial"/>
                <w:b/>
                <w:bCs/>
                <w:color w:val="auto"/>
                <w:sz w:val="16"/>
                <w:szCs w:val="16"/>
                <w:lang w:val="pl-PL"/>
              </w:rPr>
              <w:t>65 918 660,73</w:t>
            </w:r>
            <w:r w:rsidR="003158ED" w:rsidRPr="00F0151C">
              <w:rPr>
                <w:rFonts w:ascii="Arial" w:hAnsi="Arial" w:cs="Arial"/>
                <w:b/>
                <w:bCs/>
                <w:color w:val="auto"/>
                <w:sz w:val="16"/>
                <w:szCs w:val="16"/>
                <w:lang w:val="pl-PL"/>
              </w:rPr>
              <w:t xml:space="preserve"> </w:t>
            </w:r>
          </w:p>
        </w:tc>
        <w:tc>
          <w:tcPr>
            <w:tcW w:w="1458" w:type="dxa"/>
            <w:shd w:val="clear" w:color="auto" w:fill="F2F2F2" w:themeFill="background1" w:themeFillShade="F2"/>
            <w:vAlign w:val="center"/>
          </w:tcPr>
          <w:p w14:paraId="02BC2279" w14:textId="72308F52" w:rsidR="008029FC" w:rsidRPr="00F0151C" w:rsidRDefault="00F261EF" w:rsidP="008029FC">
            <w:pPr>
              <w:pStyle w:val="Domylnie"/>
              <w:spacing w:line="240" w:lineRule="auto"/>
              <w:jc w:val="right"/>
              <w:rPr>
                <w:rFonts w:ascii="Arial" w:hAnsi="Arial" w:cs="Arial"/>
                <w:b/>
                <w:bCs/>
                <w:color w:val="auto"/>
                <w:sz w:val="16"/>
                <w:szCs w:val="16"/>
                <w:lang w:val="pl-PL"/>
              </w:rPr>
            </w:pPr>
            <w:r w:rsidRPr="00F0151C">
              <w:rPr>
                <w:rFonts w:ascii="Arial" w:hAnsi="Arial" w:cs="Arial"/>
                <w:b/>
                <w:bCs/>
                <w:color w:val="auto"/>
                <w:sz w:val="16"/>
                <w:szCs w:val="16"/>
                <w:lang w:val="pl-PL"/>
              </w:rPr>
              <w:t>18 545 373,38</w:t>
            </w:r>
          </w:p>
        </w:tc>
      </w:tr>
    </w:tbl>
    <w:p w14:paraId="48708091" w14:textId="77777777" w:rsidR="009414F1" w:rsidRPr="00F0151C" w:rsidRDefault="008D0999" w:rsidP="008D0999">
      <w:pPr>
        <w:pStyle w:val="Domylnie"/>
        <w:tabs>
          <w:tab w:val="left" w:pos="426"/>
          <w:tab w:val="left" w:pos="10175"/>
        </w:tabs>
        <w:rPr>
          <w:rFonts w:ascii="Arial" w:hAnsi="Arial" w:cs="Arial"/>
          <w:color w:val="auto"/>
          <w:spacing w:val="-2"/>
          <w:sz w:val="20"/>
          <w:szCs w:val="20"/>
          <w:lang w:val="pl-PL"/>
        </w:rPr>
      </w:pPr>
      <w:r w:rsidRPr="00F0151C">
        <w:rPr>
          <w:rFonts w:ascii="Arial" w:hAnsi="Arial" w:cs="Arial"/>
          <w:color w:val="auto"/>
          <w:spacing w:val="-2"/>
          <w:sz w:val="22"/>
          <w:szCs w:val="22"/>
          <w:lang w:val="pl-PL"/>
        </w:rPr>
        <w:tab/>
      </w:r>
    </w:p>
    <w:p w14:paraId="4940F6D2" w14:textId="1F010CE0" w:rsidR="00893845" w:rsidRPr="00F0151C" w:rsidRDefault="009414F1" w:rsidP="008D0999">
      <w:pPr>
        <w:pStyle w:val="Domylnie"/>
        <w:tabs>
          <w:tab w:val="left" w:pos="426"/>
          <w:tab w:val="left" w:pos="10175"/>
        </w:tabs>
        <w:rPr>
          <w:rFonts w:ascii="Arial" w:hAnsi="Arial" w:cs="Arial"/>
          <w:color w:val="auto"/>
          <w:spacing w:val="-2"/>
          <w:sz w:val="22"/>
          <w:szCs w:val="22"/>
          <w:lang w:val="pl-PL" w:eastAsia="fa-IR"/>
        </w:rPr>
      </w:pPr>
      <w:r w:rsidRPr="00F0151C">
        <w:rPr>
          <w:rFonts w:ascii="Arial" w:hAnsi="Arial" w:cs="Arial"/>
          <w:color w:val="auto"/>
          <w:spacing w:val="-2"/>
          <w:sz w:val="22"/>
          <w:szCs w:val="22"/>
          <w:lang w:val="pl-PL"/>
        </w:rPr>
        <w:tab/>
      </w:r>
      <w:r w:rsidR="00893845" w:rsidRPr="00F0151C">
        <w:rPr>
          <w:rFonts w:ascii="Arial" w:hAnsi="Arial" w:cs="Arial"/>
          <w:color w:val="auto"/>
          <w:spacing w:val="-2"/>
          <w:sz w:val="22"/>
          <w:szCs w:val="22"/>
          <w:lang w:val="pl-PL"/>
        </w:rPr>
        <w:t xml:space="preserve">Dokonując kontroli sprawozdawczości budżetowej </w:t>
      </w:r>
      <w:r w:rsidR="00783408" w:rsidRPr="00F0151C">
        <w:rPr>
          <w:rFonts w:ascii="Arial" w:hAnsi="Arial" w:cs="Arial"/>
          <w:color w:val="auto"/>
          <w:spacing w:val="-2"/>
          <w:sz w:val="22"/>
          <w:szCs w:val="22"/>
          <w:lang w:val="pl-PL"/>
        </w:rPr>
        <w:t xml:space="preserve">weryfikacji poddano </w:t>
      </w:r>
      <w:r w:rsidR="00893845" w:rsidRPr="00F0151C">
        <w:rPr>
          <w:rFonts w:ascii="Arial" w:hAnsi="Arial" w:cs="Arial"/>
          <w:color w:val="auto"/>
          <w:spacing w:val="-2"/>
          <w:sz w:val="22"/>
          <w:szCs w:val="22"/>
          <w:lang w:val="pl-PL" w:eastAsia="fa-IR"/>
        </w:rPr>
        <w:t>sprawozdani</w:t>
      </w:r>
      <w:r w:rsidR="00783408" w:rsidRPr="00F0151C">
        <w:rPr>
          <w:rFonts w:ascii="Arial" w:hAnsi="Arial" w:cs="Arial"/>
          <w:color w:val="auto"/>
          <w:spacing w:val="-2"/>
          <w:sz w:val="22"/>
          <w:szCs w:val="22"/>
          <w:lang w:val="pl-PL" w:eastAsia="fa-IR"/>
        </w:rPr>
        <w:t>a</w:t>
      </w:r>
      <w:r w:rsidR="00893845" w:rsidRPr="00F0151C">
        <w:rPr>
          <w:rFonts w:ascii="Arial" w:hAnsi="Arial" w:cs="Arial"/>
          <w:color w:val="auto"/>
          <w:spacing w:val="-2"/>
          <w:sz w:val="22"/>
          <w:szCs w:val="22"/>
          <w:lang w:val="pl-PL" w:eastAsia="fa-IR"/>
        </w:rPr>
        <w:t xml:space="preserve"> </w:t>
      </w:r>
      <w:r w:rsidR="00783408" w:rsidRPr="00F0151C">
        <w:rPr>
          <w:rFonts w:ascii="Arial" w:hAnsi="Arial" w:cs="Arial"/>
          <w:color w:val="auto"/>
          <w:spacing w:val="-2"/>
          <w:sz w:val="22"/>
          <w:szCs w:val="22"/>
          <w:lang w:val="pl-PL" w:eastAsia="fa-IR"/>
        </w:rPr>
        <w:br/>
      </w:r>
      <w:r w:rsidR="00893845" w:rsidRPr="00F0151C">
        <w:rPr>
          <w:rFonts w:ascii="Arial" w:hAnsi="Arial" w:cs="Arial"/>
          <w:color w:val="auto"/>
          <w:spacing w:val="-4"/>
          <w:sz w:val="22"/>
          <w:szCs w:val="22"/>
          <w:lang w:val="pl-PL" w:eastAsia="fa-IR"/>
        </w:rPr>
        <w:t>Rb-30S w zakresie przychodów oraz kosztów z danymi wynikającymi z ksiąg rachunkowych w:</w:t>
      </w:r>
    </w:p>
    <w:p w14:paraId="1335C54F" w14:textId="0B368221" w:rsidR="00893845" w:rsidRPr="00F0151C" w:rsidRDefault="00893845" w:rsidP="008D0999">
      <w:pPr>
        <w:pStyle w:val="Domylnie"/>
        <w:numPr>
          <w:ilvl w:val="0"/>
          <w:numId w:val="8"/>
        </w:numPr>
        <w:tabs>
          <w:tab w:val="left" w:pos="10175"/>
        </w:tabs>
        <w:overflowPunct/>
        <w:ind w:left="426" w:hanging="412"/>
        <w:rPr>
          <w:rFonts w:ascii="Arial" w:hAnsi="Arial" w:cs="Arial"/>
          <w:color w:val="auto"/>
          <w:sz w:val="22"/>
          <w:szCs w:val="22"/>
          <w:lang w:val="pl-PL" w:eastAsia="fa-IR"/>
        </w:rPr>
      </w:pPr>
      <w:r w:rsidRPr="00F0151C">
        <w:rPr>
          <w:rFonts w:ascii="Arial" w:hAnsi="Arial" w:cs="Arial"/>
          <w:color w:val="auto"/>
          <w:sz w:val="22"/>
          <w:szCs w:val="22"/>
          <w:lang w:val="pl-PL" w:eastAsia="fa-IR"/>
        </w:rPr>
        <w:t>I</w:t>
      </w:r>
      <w:r w:rsidR="00786E1E" w:rsidRPr="00F0151C">
        <w:rPr>
          <w:rFonts w:ascii="Arial" w:hAnsi="Arial" w:cs="Arial"/>
          <w:color w:val="auto"/>
          <w:sz w:val="22"/>
          <w:szCs w:val="22"/>
          <w:lang w:val="pl-PL" w:eastAsia="fa-IR"/>
        </w:rPr>
        <w:t>I</w:t>
      </w:r>
      <w:r w:rsidRPr="00F0151C">
        <w:rPr>
          <w:rFonts w:ascii="Arial" w:hAnsi="Arial" w:cs="Arial"/>
          <w:color w:val="auto"/>
          <w:sz w:val="22"/>
          <w:szCs w:val="22"/>
          <w:lang w:val="pl-PL" w:eastAsia="fa-IR"/>
        </w:rPr>
        <w:t xml:space="preserve"> kwartale 20</w:t>
      </w:r>
      <w:r w:rsidR="00786E1E" w:rsidRPr="00F0151C">
        <w:rPr>
          <w:rFonts w:ascii="Arial" w:hAnsi="Arial" w:cs="Arial"/>
          <w:color w:val="auto"/>
          <w:sz w:val="22"/>
          <w:szCs w:val="22"/>
          <w:lang w:val="pl-PL" w:eastAsia="fa-IR"/>
        </w:rPr>
        <w:t>22</w:t>
      </w:r>
      <w:r w:rsidRPr="00F0151C">
        <w:rPr>
          <w:rFonts w:ascii="Arial" w:hAnsi="Arial" w:cs="Arial"/>
          <w:color w:val="auto"/>
          <w:sz w:val="22"/>
          <w:szCs w:val="22"/>
          <w:lang w:val="pl-PL" w:eastAsia="fa-IR"/>
        </w:rPr>
        <w:t xml:space="preserve"> r.,</w:t>
      </w:r>
    </w:p>
    <w:p w14:paraId="5A813AC0" w14:textId="1A81C32D" w:rsidR="00893845" w:rsidRPr="00F0151C" w:rsidRDefault="00893845" w:rsidP="008D0999">
      <w:pPr>
        <w:pStyle w:val="Domylnie"/>
        <w:numPr>
          <w:ilvl w:val="0"/>
          <w:numId w:val="8"/>
        </w:numPr>
        <w:tabs>
          <w:tab w:val="left" w:pos="10175"/>
        </w:tabs>
        <w:overflowPunct/>
        <w:ind w:left="426" w:hanging="412"/>
        <w:rPr>
          <w:rFonts w:ascii="Arial" w:hAnsi="Arial" w:cs="Arial"/>
          <w:color w:val="auto"/>
          <w:sz w:val="22"/>
          <w:szCs w:val="22"/>
          <w:lang w:val="pl-PL" w:eastAsia="fa-IR"/>
        </w:rPr>
      </w:pPr>
      <w:r w:rsidRPr="00F0151C">
        <w:rPr>
          <w:rFonts w:ascii="Arial" w:hAnsi="Arial" w:cs="Arial"/>
          <w:color w:val="auto"/>
          <w:sz w:val="22"/>
          <w:szCs w:val="22"/>
          <w:lang w:val="pl-PL" w:eastAsia="fa-IR"/>
        </w:rPr>
        <w:t>IV kwartale 20</w:t>
      </w:r>
      <w:r w:rsidR="00786E1E" w:rsidRPr="00F0151C">
        <w:rPr>
          <w:rFonts w:ascii="Arial" w:hAnsi="Arial" w:cs="Arial"/>
          <w:color w:val="auto"/>
          <w:sz w:val="22"/>
          <w:szCs w:val="22"/>
          <w:lang w:val="pl-PL" w:eastAsia="fa-IR"/>
        </w:rPr>
        <w:t>22</w:t>
      </w:r>
      <w:r w:rsidRPr="00F0151C">
        <w:rPr>
          <w:rFonts w:ascii="Arial" w:hAnsi="Arial" w:cs="Arial"/>
          <w:color w:val="auto"/>
          <w:sz w:val="22"/>
          <w:szCs w:val="22"/>
          <w:lang w:val="pl-PL" w:eastAsia="fa-IR"/>
        </w:rPr>
        <w:t xml:space="preserve"> r.</w:t>
      </w:r>
    </w:p>
    <w:p w14:paraId="1632AE50" w14:textId="77777777" w:rsidR="00783408" w:rsidRPr="00F0151C" w:rsidRDefault="00786E1E" w:rsidP="00783408">
      <w:pPr>
        <w:pStyle w:val="Domylnie"/>
        <w:numPr>
          <w:ilvl w:val="0"/>
          <w:numId w:val="8"/>
        </w:numPr>
        <w:tabs>
          <w:tab w:val="left" w:pos="10175"/>
        </w:tabs>
        <w:overflowPunct/>
        <w:ind w:left="426" w:hanging="412"/>
        <w:rPr>
          <w:rFonts w:ascii="Arial" w:hAnsi="Arial" w:cs="Arial"/>
          <w:color w:val="auto"/>
          <w:sz w:val="22"/>
          <w:szCs w:val="22"/>
          <w:lang w:val="pl-PL" w:eastAsia="fa-IR"/>
        </w:rPr>
      </w:pPr>
      <w:r w:rsidRPr="00F0151C">
        <w:rPr>
          <w:rFonts w:ascii="Arial" w:hAnsi="Arial" w:cs="Arial"/>
          <w:color w:val="auto"/>
          <w:sz w:val="22"/>
          <w:szCs w:val="22"/>
          <w:lang w:val="pl-PL" w:eastAsia="fa-IR"/>
        </w:rPr>
        <w:t>I kwartale 2023 r.,</w:t>
      </w:r>
    </w:p>
    <w:p w14:paraId="0F04D2DC" w14:textId="42755F2F" w:rsidR="008D0999" w:rsidRPr="00F0151C" w:rsidRDefault="00783408" w:rsidP="00783408">
      <w:pPr>
        <w:tabs>
          <w:tab w:val="left" w:pos="426"/>
        </w:tabs>
        <w:spacing w:after="0" w:line="360" w:lineRule="auto"/>
        <w:jc w:val="both"/>
        <w:rPr>
          <w:rFonts w:ascii="Arial" w:hAnsi="Arial" w:cs="Arial"/>
          <w:color w:val="auto"/>
        </w:rPr>
      </w:pPr>
      <w:r w:rsidRPr="00F0151C">
        <w:rPr>
          <w:rFonts w:ascii="Arial" w:hAnsi="Arial" w:cs="Arial"/>
          <w:color w:val="auto"/>
        </w:rPr>
        <w:t xml:space="preserve">W wyniku przeprowadzonej weryfikacji danych wykazanych w ww. sprawozdaniach z przedłożonymi do kontroli zestawieniami obrotów i sald nie stwierdzono nieprawidłowości. </w:t>
      </w:r>
    </w:p>
    <w:p w14:paraId="20DA88FA" w14:textId="60DBB5D7" w:rsidR="006778FC" w:rsidRPr="00F0151C" w:rsidRDefault="008D0999" w:rsidP="00765C1D">
      <w:pPr>
        <w:pStyle w:val="Domylnie"/>
        <w:tabs>
          <w:tab w:val="left" w:pos="426"/>
          <w:tab w:val="left" w:pos="10175"/>
        </w:tabs>
        <w:rPr>
          <w:rFonts w:ascii="Arial" w:hAnsi="Arial" w:cs="Arial"/>
          <w:b/>
          <w:bCs/>
          <w:color w:val="auto"/>
          <w:sz w:val="22"/>
          <w:szCs w:val="22"/>
          <w:lang w:val="pl-PL"/>
        </w:rPr>
      </w:pPr>
      <w:r w:rsidRPr="00F0151C">
        <w:rPr>
          <w:rFonts w:ascii="Arial" w:hAnsi="Arial" w:cs="Arial"/>
          <w:color w:val="auto"/>
          <w:sz w:val="22"/>
          <w:szCs w:val="22"/>
          <w:lang w:val="pl-PL"/>
        </w:rPr>
        <w:tab/>
      </w:r>
      <w:r w:rsidR="00893845" w:rsidRPr="00F0151C">
        <w:rPr>
          <w:rFonts w:ascii="Arial" w:hAnsi="Arial" w:cs="Arial"/>
          <w:b/>
          <w:bCs/>
          <w:color w:val="auto"/>
          <w:sz w:val="22"/>
          <w:szCs w:val="22"/>
          <w:lang w:val="pl-PL"/>
        </w:rPr>
        <w:t xml:space="preserve">Weryfikacja kwartalnych sprawozdań Rb-N o stanie należności oraz wybranych aktywów finansowych za ww. okresy wykazała, </w:t>
      </w:r>
      <w:r w:rsidR="00786E1E" w:rsidRPr="00F0151C">
        <w:rPr>
          <w:rFonts w:ascii="Arial" w:hAnsi="Arial" w:cs="Arial"/>
          <w:b/>
          <w:bCs/>
          <w:color w:val="auto"/>
          <w:sz w:val="22"/>
          <w:szCs w:val="22"/>
          <w:lang w:val="pl-PL"/>
        </w:rPr>
        <w:t>że</w:t>
      </w:r>
      <w:r w:rsidR="00893845" w:rsidRPr="00F0151C">
        <w:rPr>
          <w:rFonts w:ascii="Arial" w:hAnsi="Arial" w:cs="Arial"/>
          <w:b/>
          <w:bCs/>
          <w:color w:val="auto"/>
          <w:sz w:val="22"/>
          <w:szCs w:val="22"/>
          <w:lang w:val="pl-PL"/>
        </w:rPr>
        <w:t xml:space="preserve"> </w:t>
      </w:r>
      <w:r w:rsidRPr="00F0151C">
        <w:rPr>
          <w:rFonts w:ascii="Arial" w:hAnsi="Arial" w:cs="Arial"/>
          <w:b/>
          <w:bCs/>
          <w:color w:val="auto"/>
          <w:sz w:val="22"/>
          <w:szCs w:val="22"/>
          <w:lang w:val="pl-PL"/>
        </w:rPr>
        <w:t>w sprawozdaniu za IV kwartał 2022</w:t>
      </w:r>
      <w:r w:rsidR="001B0BCA" w:rsidRPr="00F0151C">
        <w:rPr>
          <w:rFonts w:ascii="Arial" w:hAnsi="Arial" w:cs="Arial"/>
          <w:b/>
          <w:bCs/>
          <w:color w:val="auto"/>
          <w:sz w:val="22"/>
          <w:szCs w:val="22"/>
          <w:lang w:val="pl-PL"/>
        </w:rPr>
        <w:t> </w:t>
      </w:r>
      <w:r w:rsidRPr="00F0151C">
        <w:rPr>
          <w:rFonts w:ascii="Arial" w:hAnsi="Arial" w:cs="Arial"/>
          <w:b/>
          <w:bCs/>
          <w:color w:val="auto"/>
          <w:sz w:val="22"/>
          <w:szCs w:val="22"/>
          <w:lang w:val="pl-PL"/>
        </w:rPr>
        <w:t>r.</w:t>
      </w:r>
      <w:r w:rsidR="00765C1D" w:rsidRPr="00F0151C">
        <w:rPr>
          <w:rFonts w:ascii="Arial" w:hAnsi="Arial" w:cs="Arial"/>
          <w:b/>
          <w:bCs/>
          <w:color w:val="auto"/>
          <w:sz w:val="22"/>
          <w:szCs w:val="22"/>
          <w:lang w:val="pl-PL"/>
        </w:rPr>
        <w:t xml:space="preserve"> </w:t>
      </w:r>
      <w:r w:rsidRPr="00F0151C">
        <w:rPr>
          <w:rFonts w:ascii="Arial" w:hAnsi="Arial" w:cs="Arial"/>
          <w:b/>
          <w:bCs/>
          <w:color w:val="auto"/>
          <w:sz w:val="22"/>
          <w:szCs w:val="22"/>
          <w:lang w:val="pl-PL"/>
        </w:rPr>
        <w:t xml:space="preserve">w pozycji N4.1 </w:t>
      </w:r>
      <w:r w:rsidRPr="00F0151C">
        <w:rPr>
          <w:rFonts w:ascii="Arial" w:hAnsi="Arial" w:cs="Arial"/>
          <w:b/>
          <w:bCs/>
          <w:i/>
          <w:iCs/>
          <w:color w:val="auto"/>
          <w:sz w:val="22"/>
          <w:szCs w:val="22"/>
          <w:lang w:val="pl-PL"/>
        </w:rPr>
        <w:t>Należności wymagalne z tytułu dostaw i usług</w:t>
      </w:r>
      <w:r w:rsidRPr="00F0151C">
        <w:rPr>
          <w:rFonts w:ascii="Arial" w:hAnsi="Arial" w:cs="Arial"/>
          <w:b/>
          <w:bCs/>
          <w:color w:val="auto"/>
          <w:sz w:val="22"/>
          <w:szCs w:val="22"/>
          <w:lang w:val="pl-PL"/>
        </w:rPr>
        <w:t xml:space="preserve"> nieprawidłowo wykazano odsetki od zadłużenia lokali w kwocie 29,30 zł</w:t>
      </w:r>
      <w:r w:rsidR="00765C1D" w:rsidRPr="00F0151C">
        <w:rPr>
          <w:rFonts w:ascii="Arial" w:hAnsi="Arial" w:cs="Arial"/>
          <w:b/>
          <w:bCs/>
          <w:color w:val="auto"/>
          <w:sz w:val="22"/>
          <w:szCs w:val="22"/>
          <w:lang w:val="pl-PL"/>
        </w:rPr>
        <w:t>.</w:t>
      </w:r>
    </w:p>
    <w:p w14:paraId="40FC62C1" w14:textId="77777777" w:rsidR="00A94846" w:rsidRPr="00F0151C" w:rsidRDefault="00A94846" w:rsidP="00765C1D">
      <w:pPr>
        <w:pStyle w:val="Domylnie"/>
        <w:tabs>
          <w:tab w:val="left" w:pos="426"/>
          <w:tab w:val="left" w:pos="10175"/>
        </w:tabs>
        <w:rPr>
          <w:rFonts w:ascii="Arial" w:hAnsi="Arial" w:cs="Arial"/>
          <w:b/>
          <w:bCs/>
          <w:color w:val="auto"/>
          <w:sz w:val="22"/>
          <w:szCs w:val="22"/>
          <w:lang w:val="pl-PL"/>
        </w:rPr>
      </w:pPr>
    </w:p>
    <w:p w14:paraId="4828C21D" w14:textId="3F6BF848" w:rsidR="00783408" w:rsidRPr="00F0151C" w:rsidRDefault="00783408" w:rsidP="00783408">
      <w:pPr>
        <w:pStyle w:val="Standard"/>
        <w:widowControl w:val="0"/>
        <w:tabs>
          <w:tab w:val="left" w:pos="426"/>
          <w:tab w:val="left" w:pos="532"/>
        </w:tabs>
        <w:spacing w:after="0" w:line="360" w:lineRule="auto"/>
        <w:ind w:left="28"/>
        <w:jc w:val="both"/>
        <w:rPr>
          <w:rFonts w:ascii="Arial" w:hAnsi="Arial" w:cs="Arial"/>
          <w:color w:val="auto"/>
        </w:rPr>
      </w:pPr>
      <w:r w:rsidRPr="00F0151C">
        <w:rPr>
          <w:rFonts w:ascii="Arial" w:hAnsi="Arial" w:cs="Arial"/>
          <w:color w:val="auto"/>
        </w:rPr>
        <w:lastRenderedPageBreak/>
        <w:tab/>
        <w:t>Dokonując kontroli sprawozdawczości budżetowej jednostki weryfikacji poddano sprawozdania kwartalne Rb-Z o stanie zobowiązań według tytułów dłużnych oraz poręczeń i gwarancji za wskazane okresy. W sprawozdaniach tych nie wykazano zobowiązań wymagalnych, co znalazło potwierdzenie w dokumentacji źródłowej poddanej kontroli.</w:t>
      </w:r>
    </w:p>
    <w:p w14:paraId="6FBF04BC" w14:textId="5B47590B" w:rsidR="00893845" w:rsidRPr="00F0151C" w:rsidRDefault="00893845" w:rsidP="00527AB5">
      <w:pPr>
        <w:tabs>
          <w:tab w:val="left" w:pos="426"/>
        </w:tabs>
        <w:spacing w:after="0" w:line="360" w:lineRule="auto"/>
        <w:jc w:val="both"/>
        <w:rPr>
          <w:rFonts w:ascii="Arial" w:hAnsi="Arial"/>
          <w:color w:val="auto"/>
        </w:rPr>
      </w:pPr>
      <w:r w:rsidRPr="00F0151C">
        <w:rPr>
          <w:rFonts w:ascii="Arial" w:hAnsi="Arial" w:cs="Arial"/>
          <w:color w:val="auto"/>
        </w:rPr>
        <w:tab/>
        <w:t>Kontroli poddano spra</w:t>
      </w:r>
      <w:r w:rsidRPr="00F0151C">
        <w:rPr>
          <w:rFonts w:ascii="Arial" w:hAnsi="Arial"/>
          <w:color w:val="auto"/>
        </w:rPr>
        <w:t>wozdania finansowe, tj. bilans</w:t>
      </w:r>
      <w:r w:rsidR="0059316D" w:rsidRPr="00F0151C">
        <w:rPr>
          <w:rFonts w:ascii="Arial" w:hAnsi="Arial"/>
          <w:color w:val="auto"/>
        </w:rPr>
        <w:t xml:space="preserve">, </w:t>
      </w:r>
      <w:r w:rsidRPr="00F0151C">
        <w:rPr>
          <w:rFonts w:ascii="Arial" w:hAnsi="Arial"/>
          <w:color w:val="auto"/>
        </w:rPr>
        <w:t xml:space="preserve">rachunek zysków i strat </w:t>
      </w:r>
      <w:r w:rsidR="0059316D" w:rsidRPr="00F0151C">
        <w:rPr>
          <w:rFonts w:ascii="Arial" w:hAnsi="Arial"/>
          <w:color w:val="auto"/>
        </w:rPr>
        <w:t xml:space="preserve">oraz zestawienie zmian w funduszu jednostki </w:t>
      </w:r>
      <w:r w:rsidRPr="00F0151C">
        <w:rPr>
          <w:rFonts w:ascii="Arial" w:hAnsi="Arial"/>
          <w:color w:val="auto"/>
        </w:rPr>
        <w:t>za 20</w:t>
      </w:r>
      <w:r w:rsidR="00786E1E" w:rsidRPr="00F0151C">
        <w:rPr>
          <w:rFonts w:ascii="Arial" w:hAnsi="Arial"/>
          <w:color w:val="auto"/>
        </w:rPr>
        <w:t>22</w:t>
      </w:r>
      <w:r w:rsidRPr="00F0151C">
        <w:rPr>
          <w:rFonts w:ascii="Arial" w:hAnsi="Arial"/>
          <w:color w:val="auto"/>
        </w:rPr>
        <w:t xml:space="preserve"> r. w konfrontacji z danymi wynikającymi z</w:t>
      </w:r>
      <w:r w:rsidR="0059316D" w:rsidRPr="00F0151C">
        <w:rPr>
          <w:rFonts w:ascii="Arial" w:hAnsi="Arial"/>
          <w:color w:val="auto"/>
        </w:rPr>
        <w:t> </w:t>
      </w:r>
      <w:r w:rsidRPr="00F0151C">
        <w:rPr>
          <w:rFonts w:ascii="Arial" w:hAnsi="Arial"/>
          <w:color w:val="auto"/>
        </w:rPr>
        <w:t>ksiąg rachunkowyc</w:t>
      </w:r>
      <w:r w:rsidR="00CD258E" w:rsidRPr="00F0151C">
        <w:rPr>
          <w:rFonts w:ascii="Arial" w:hAnsi="Arial"/>
          <w:color w:val="auto"/>
        </w:rPr>
        <w:t>h</w:t>
      </w:r>
      <w:r w:rsidR="002827FF" w:rsidRPr="00F0151C">
        <w:rPr>
          <w:rFonts w:ascii="Arial" w:hAnsi="Arial"/>
          <w:color w:val="auto"/>
        </w:rPr>
        <w:t>.</w:t>
      </w:r>
      <w:r w:rsidR="003D6166" w:rsidRPr="00F0151C">
        <w:rPr>
          <w:rFonts w:ascii="Arial" w:hAnsi="Arial"/>
          <w:color w:val="auto"/>
        </w:rPr>
        <w:t xml:space="preserve"> </w:t>
      </w:r>
      <w:r w:rsidR="002827FF" w:rsidRPr="00F0151C">
        <w:rPr>
          <w:rFonts w:ascii="Arial" w:hAnsi="Arial"/>
          <w:color w:val="auto"/>
        </w:rPr>
        <w:t>Stwierdzono</w:t>
      </w:r>
      <w:r w:rsidR="005A2D23" w:rsidRPr="00F0151C">
        <w:rPr>
          <w:rFonts w:ascii="Arial" w:hAnsi="Arial"/>
          <w:color w:val="auto"/>
        </w:rPr>
        <w:t xml:space="preserve"> </w:t>
      </w:r>
      <w:r w:rsidR="003D6166" w:rsidRPr="00F0151C">
        <w:rPr>
          <w:rFonts w:ascii="Arial" w:hAnsi="Arial"/>
          <w:color w:val="auto"/>
        </w:rPr>
        <w:t>nieprawidłow</w:t>
      </w:r>
      <w:r w:rsidR="00527AB5" w:rsidRPr="00F0151C">
        <w:rPr>
          <w:rFonts w:ascii="Arial" w:hAnsi="Arial"/>
          <w:color w:val="auto"/>
        </w:rPr>
        <w:t xml:space="preserve">e </w:t>
      </w:r>
      <w:r w:rsidR="003D6166" w:rsidRPr="00F0151C">
        <w:rPr>
          <w:rFonts w:ascii="Arial" w:hAnsi="Arial"/>
          <w:color w:val="auto"/>
        </w:rPr>
        <w:t>ujęci</w:t>
      </w:r>
      <w:r w:rsidR="00527AB5" w:rsidRPr="00F0151C">
        <w:rPr>
          <w:rFonts w:ascii="Arial" w:hAnsi="Arial"/>
          <w:color w:val="auto"/>
        </w:rPr>
        <w:t>e</w:t>
      </w:r>
      <w:r w:rsidR="003D6166" w:rsidRPr="00F0151C">
        <w:rPr>
          <w:rFonts w:ascii="Arial" w:hAnsi="Arial"/>
          <w:color w:val="auto"/>
        </w:rPr>
        <w:t xml:space="preserve"> nadwyżki środków obrotowych w</w:t>
      </w:r>
      <w:r w:rsidR="00527AB5" w:rsidRPr="00F0151C">
        <w:rPr>
          <w:rFonts w:ascii="Arial" w:hAnsi="Arial"/>
          <w:color w:val="auto"/>
        </w:rPr>
        <w:t> </w:t>
      </w:r>
      <w:r w:rsidR="003D6166" w:rsidRPr="00F0151C">
        <w:rPr>
          <w:rFonts w:ascii="Arial" w:hAnsi="Arial"/>
          <w:color w:val="auto"/>
        </w:rPr>
        <w:t xml:space="preserve">poszczególnych pozycjach ww. sprawozdań, co wynikało z niedokonania przeksięgowania, pod datą ostatniego dnia roku, obowiązkowych zmniejszeń wyniku finansowego, tj. salda konta 870 </w:t>
      </w:r>
      <w:r w:rsidR="003D6166" w:rsidRPr="00F0151C">
        <w:rPr>
          <w:rFonts w:ascii="Arial" w:hAnsi="Arial"/>
          <w:i/>
          <w:iCs/>
          <w:color w:val="auto"/>
        </w:rPr>
        <w:t xml:space="preserve">Podatki i obowiązkowe rozliczenia z budżetem obciążające wynik finansowy </w:t>
      </w:r>
      <w:r w:rsidR="003D6166" w:rsidRPr="00F0151C">
        <w:rPr>
          <w:rFonts w:ascii="Arial" w:hAnsi="Arial"/>
          <w:color w:val="auto"/>
        </w:rPr>
        <w:t xml:space="preserve">na stronę Wn konta 860 </w:t>
      </w:r>
      <w:r w:rsidR="003D6166" w:rsidRPr="00F0151C">
        <w:rPr>
          <w:rFonts w:ascii="Arial" w:hAnsi="Arial"/>
          <w:i/>
          <w:iCs/>
          <w:color w:val="auto"/>
        </w:rPr>
        <w:t>Wynik finansowy.</w:t>
      </w:r>
      <w:r w:rsidR="003D6166" w:rsidRPr="00F0151C">
        <w:rPr>
          <w:rFonts w:ascii="Arial" w:hAnsi="Arial"/>
          <w:color w:val="auto"/>
        </w:rPr>
        <w:t xml:space="preserve"> Zgodnie z 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w końcu roku budżetowego saldo konta 870 podlega przeniesieniu na stronę Wn konta 860.</w:t>
      </w:r>
      <w:r w:rsidR="00A42302" w:rsidRPr="00F0151C">
        <w:rPr>
          <w:rFonts w:ascii="Arial" w:hAnsi="Arial"/>
          <w:color w:val="auto"/>
        </w:rPr>
        <w:t xml:space="preserve"> </w:t>
      </w:r>
      <w:r w:rsidR="006F075B" w:rsidRPr="00F0151C">
        <w:rPr>
          <w:rFonts w:ascii="Arial" w:hAnsi="Arial"/>
          <w:color w:val="auto"/>
        </w:rPr>
        <w:t xml:space="preserve">Zgodnie z wyjaśnieniem  zamieszczonym na stronie internetowej Ministerstwa Finansów </w:t>
      </w:r>
      <w:hyperlink r:id="rId8" w:history="1">
        <w:r w:rsidR="006F075B" w:rsidRPr="00F0151C">
          <w:rPr>
            <w:rStyle w:val="Hipercze"/>
            <w:rFonts w:ascii="Arial" w:hAnsi="Arial"/>
            <w:i/>
            <w:iCs/>
            <w:color w:val="auto"/>
            <w:u w:val="none"/>
          </w:rPr>
          <w:t>www.mf.gov.pl</w:t>
        </w:r>
      </w:hyperlink>
      <w:r w:rsidR="006F075B" w:rsidRPr="00F0151C">
        <w:rPr>
          <w:rFonts w:ascii="Arial" w:hAnsi="Arial"/>
          <w:i/>
          <w:iCs/>
          <w:color w:val="auto"/>
        </w:rPr>
        <w:t xml:space="preserve"> (w zakładce Działalność/Rachunkowość/Najczęściej zadawane pytania/Rachunkowość budżetowa)</w:t>
      </w:r>
      <w:r w:rsidR="006F075B" w:rsidRPr="00F0151C">
        <w:rPr>
          <w:rFonts w:ascii="Arial" w:hAnsi="Arial"/>
          <w:color w:val="auto"/>
        </w:rPr>
        <w:t xml:space="preserve"> w </w:t>
      </w:r>
      <w:r w:rsidR="00A42302" w:rsidRPr="00F0151C">
        <w:rPr>
          <w:rFonts w:ascii="Arial" w:hAnsi="Arial"/>
          <w:color w:val="auto"/>
        </w:rPr>
        <w:t xml:space="preserve">związku z uwzględnieniem </w:t>
      </w:r>
      <w:r w:rsidR="00B8289C" w:rsidRPr="00F0151C">
        <w:rPr>
          <w:rFonts w:ascii="Arial" w:hAnsi="Arial"/>
          <w:color w:val="auto"/>
        </w:rPr>
        <w:t xml:space="preserve">nadwyżki środków obrotowych </w:t>
      </w:r>
      <w:r w:rsidR="00A42302" w:rsidRPr="00F0151C">
        <w:rPr>
          <w:rFonts w:ascii="Arial" w:hAnsi="Arial"/>
          <w:color w:val="auto"/>
        </w:rPr>
        <w:t>w wyniku finansowym</w:t>
      </w:r>
      <w:r w:rsidR="00B8289C" w:rsidRPr="00F0151C">
        <w:rPr>
          <w:rFonts w:ascii="Arial" w:hAnsi="Arial"/>
          <w:color w:val="auto"/>
        </w:rPr>
        <w:t xml:space="preserve"> powinna ona zostać wykazana w:</w:t>
      </w:r>
    </w:p>
    <w:p w14:paraId="0F5A2C54" w14:textId="181E0ACD" w:rsidR="00B8289C" w:rsidRPr="00F0151C" w:rsidRDefault="00B8289C" w:rsidP="00326634">
      <w:pPr>
        <w:pStyle w:val="Akapitzlist"/>
        <w:numPr>
          <w:ilvl w:val="0"/>
          <w:numId w:val="50"/>
        </w:numPr>
        <w:tabs>
          <w:tab w:val="left" w:pos="426"/>
        </w:tabs>
        <w:rPr>
          <w:rFonts w:ascii="Arial" w:hAnsi="Arial"/>
          <w:color w:val="auto"/>
          <w:sz w:val="22"/>
          <w:szCs w:val="22"/>
          <w:lang w:val="pl-PL"/>
        </w:rPr>
      </w:pPr>
      <w:r w:rsidRPr="00F0151C">
        <w:rPr>
          <w:rFonts w:ascii="Arial" w:hAnsi="Arial"/>
          <w:color w:val="auto"/>
          <w:sz w:val="22"/>
          <w:szCs w:val="22"/>
          <w:lang w:val="pl-PL"/>
        </w:rPr>
        <w:t xml:space="preserve">rachunku zysków i strat jako odrębna pozycja K. </w:t>
      </w:r>
      <w:r w:rsidRPr="00F0151C">
        <w:rPr>
          <w:rFonts w:ascii="Arial" w:hAnsi="Arial"/>
          <w:i/>
          <w:iCs/>
          <w:color w:val="auto"/>
          <w:sz w:val="22"/>
          <w:szCs w:val="22"/>
          <w:lang w:val="pl-PL"/>
        </w:rPr>
        <w:t>Pozostałe obowiązkowe zmniejszenia zysku (zwiększenia, straty),</w:t>
      </w:r>
    </w:p>
    <w:p w14:paraId="7F0D523B" w14:textId="5D2D7B51" w:rsidR="00B8289C" w:rsidRPr="00F0151C" w:rsidRDefault="00B8289C" w:rsidP="00326634">
      <w:pPr>
        <w:pStyle w:val="Akapitzlist"/>
        <w:numPr>
          <w:ilvl w:val="0"/>
          <w:numId w:val="50"/>
        </w:numPr>
        <w:tabs>
          <w:tab w:val="left" w:pos="426"/>
        </w:tabs>
        <w:rPr>
          <w:rFonts w:ascii="Arial" w:hAnsi="Arial"/>
          <w:color w:val="auto"/>
          <w:sz w:val="22"/>
          <w:szCs w:val="22"/>
          <w:lang w:val="pl-PL"/>
        </w:rPr>
      </w:pPr>
      <w:r w:rsidRPr="00F0151C">
        <w:rPr>
          <w:rFonts w:ascii="Arial" w:hAnsi="Arial"/>
          <w:color w:val="auto"/>
          <w:sz w:val="22"/>
          <w:szCs w:val="22"/>
          <w:lang w:val="pl-PL"/>
        </w:rPr>
        <w:t xml:space="preserve">pasywach bilansu w ramach pozycji II. </w:t>
      </w:r>
      <w:r w:rsidRPr="00F0151C">
        <w:rPr>
          <w:rFonts w:ascii="Arial" w:hAnsi="Arial"/>
          <w:i/>
          <w:iCs/>
          <w:color w:val="auto"/>
          <w:sz w:val="22"/>
          <w:szCs w:val="22"/>
          <w:lang w:val="pl-PL"/>
        </w:rPr>
        <w:t>Wynik finansowy netto (+,-)</w:t>
      </w:r>
      <w:r w:rsidRPr="00F0151C">
        <w:rPr>
          <w:rFonts w:ascii="Arial" w:hAnsi="Arial"/>
          <w:color w:val="auto"/>
          <w:sz w:val="22"/>
          <w:szCs w:val="22"/>
          <w:lang w:val="pl-PL"/>
        </w:rPr>
        <w:t xml:space="preserve"> odpowiednio </w:t>
      </w:r>
      <w:r w:rsidR="006F075B" w:rsidRPr="00F0151C">
        <w:rPr>
          <w:rFonts w:ascii="Arial" w:hAnsi="Arial"/>
          <w:color w:val="auto"/>
          <w:sz w:val="22"/>
          <w:szCs w:val="22"/>
          <w:lang w:val="pl-PL"/>
        </w:rPr>
        <w:t>w</w:t>
      </w:r>
      <w:r w:rsidR="00527AB5" w:rsidRPr="00F0151C">
        <w:rPr>
          <w:rFonts w:ascii="Arial" w:hAnsi="Arial"/>
          <w:color w:val="auto"/>
          <w:sz w:val="22"/>
          <w:szCs w:val="22"/>
          <w:lang w:val="pl-PL"/>
        </w:rPr>
        <w:t> </w:t>
      </w:r>
      <w:r w:rsidR="006F075B" w:rsidRPr="00F0151C">
        <w:rPr>
          <w:rFonts w:ascii="Arial" w:hAnsi="Arial"/>
          <w:color w:val="auto"/>
          <w:sz w:val="22"/>
          <w:szCs w:val="22"/>
          <w:lang w:val="pl-PL"/>
        </w:rPr>
        <w:t xml:space="preserve">pozycji 1. </w:t>
      </w:r>
      <w:r w:rsidR="006F075B" w:rsidRPr="00F0151C">
        <w:rPr>
          <w:rFonts w:ascii="Arial" w:hAnsi="Arial"/>
          <w:i/>
          <w:iCs/>
          <w:color w:val="auto"/>
          <w:sz w:val="22"/>
          <w:szCs w:val="22"/>
          <w:lang w:val="pl-PL"/>
        </w:rPr>
        <w:t>Zysk netto (+)</w:t>
      </w:r>
      <w:r w:rsidR="006F075B" w:rsidRPr="00F0151C">
        <w:rPr>
          <w:rFonts w:ascii="Arial" w:hAnsi="Arial"/>
          <w:color w:val="auto"/>
          <w:sz w:val="22"/>
          <w:szCs w:val="22"/>
          <w:lang w:val="pl-PL"/>
        </w:rPr>
        <w:t xml:space="preserve"> lub 2. </w:t>
      </w:r>
      <w:r w:rsidR="006F075B" w:rsidRPr="00F0151C">
        <w:rPr>
          <w:rFonts w:ascii="Arial" w:hAnsi="Arial"/>
          <w:i/>
          <w:iCs/>
          <w:color w:val="auto"/>
          <w:sz w:val="22"/>
          <w:szCs w:val="22"/>
          <w:lang w:val="pl-PL"/>
        </w:rPr>
        <w:t>Strata netto (-),</w:t>
      </w:r>
    </w:p>
    <w:p w14:paraId="5104FA3B" w14:textId="60483840" w:rsidR="006F075B" w:rsidRPr="00F0151C" w:rsidRDefault="006F075B" w:rsidP="00326634">
      <w:pPr>
        <w:pStyle w:val="Akapitzlist"/>
        <w:numPr>
          <w:ilvl w:val="0"/>
          <w:numId w:val="50"/>
        </w:numPr>
        <w:tabs>
          <w:tab w:val="left" w:pos="426"/>
        </w:tabs>
        <w:rPr>
          <w:rFonts w:ascii="Arial" w:hAnsi="Arial"/>
          <w:color w:val="auto"/>
          <w:sz w:val="22"/>
          <w:szCs w:val="22"/>
          <w:lang w:val="pl-PL"/>
        </w:rPr>
      </w:pPr>
      <w:r w:rsidRPr="00F0151C">
        <w:rPr>
          <w:rFonts w:ascii="Arial" w:hAnsi="Arial"/>
          <w:color w:val="auto"/>
          <w:sz w:val="22"/>
          <w:szCs w:val="22"/>
          <w:lang w:val="pl-PL"/>
        </w:rPr>
        <w:t xml:space="preserve">zestawieniu zmian w funduszu odpowiednio w ramach pozycji III. </w:t>
      </w:r>
      <w:r w:rsidR="00261D79" w:rsidRPr="00F0151C">
        <w:rPr>
          <w:rFonts w:ascii="Arial" w:hAnsi="Arial"/>
          <w:i/>
          <w:iCs/>
          <w:color w:val="auto"/>
          <w:sz w:val="22"/>
          <w:szCs w:val="22"/>
          <w:lang w:val="pl-PL"/>
        </w:rPr>
        <w:t>Wynik finansowy</w:t>
      </w:r>
      <w:r w:rsidR="00261D79" w:rsidRPr="00F0151C">
        <w:rPr>
          <w:rFonts w:ascii="Arial" w:hAnsi="Arial"/>
          <w:color w:val="auto"/>
          <w:sz w:val="22"/>
          <w:szCs w:val="22"/>
          <w:lang w:val="pl-PL"/>
        </w:rPr>
        <w:t xml:space="preserve"> </w:t>
      </w:r>
      <w:r w:rsidRPr="00F0151C">
        <w:rPr>
          <w:rFonts w:ascii="Arial" w:hAnsi="Arial"/>
          <w:color w:val="auto"/>
          <w:sz w:val="22"/>
          <w:szCs w:val="22"/>
          <w:lang w:val="pl-PL"/>
        </w:rPr>
        <w:t>1.</w:t>
      </w:r>
      <w:r w:rsidR="00261D79" w:rsidRPr="00F0151C">
        <w:rPr>
          <w:rFonts w:ascii="Arial" w:hAnsi="Arial"/>
          <w:color w:val="auto"/>
          <w:sz w:val="22"/>
          <w:szCs w:val="22"/>
          <w:lang w:val="pl-PL"/>
        </w:rPr>
        <w:t> </w:t>
      </w:r>
      <w:r w:rsidRPr="00F0151C">
        <w:rPr>
          <w:rFonts w:ascii="Arial" w:hAnsi="Arial"/>
          <w:i/>
          <w:iCs/>
          <w:color w:val="auto"/>
          <w:sz w:val="22"/>
          <w:szCs w:val="22"/>
          <w:lang w:val="pl-PL"/>
        </w:rPr>
        <w:t>Zysk netto (+)</w:t>
      </w:r>
      <w:r w:rsidRPr="00F0151C">
        <w:rPr>
          <w:rFonts w:ascii="Arial" w:hAnsi="Arial"/>
          <w:color w:val="auto"/>
          <w:sz w:val="22"/>
          <w:szCs w:val="22"/>
          <w:lang w:val="pl-PL"/>
        </w:rPr>
        <w:t xml:space="preserve"> albo 2. </w:t>
      </w:r>
      <w:r w:rsidRPr="00F0151C">
        <w:rPr>
          <w:rFonts w:ascii="Arial" w:hAnsi="Arial"/>
          <w:i/>
          <w:iCs/>
          <w:color w:val="auto"/>
          <w:sz w:val="22"/>
          <w:szCs w:val="22"/>
          <w:lang w:val="pl-PL"/>
        </w:rPr>
        <w:t>Strata netto (-).</w:t>
      </w:r>
    </w:p>
    <w:p w14:paraId="2E5F4EC9" w14:textId="4314F587" w:rsidR="00527AB5" w:rsidRPr="00F0151C" w:rsidRDefault="00527AB5" w:rsidP="00527AB5">
      <w:pPr>
        <w:tabs>
          <w:tab w:val="left" w:pos="426"/>
        </w:tabs>
        <w:spacing w:after="0" w:line="360" w:lineRule="auto"/>
        <w:jc w:val="both"/>
        <w:rPr>
          <w:rFonts w:ascii="Arial" w:hAnsi="Arial"/>
          <w:color w:val="auto"/>
        </w:rPr>
      </w:pPr>
      <w:r w:rsidRPr="00F0151C">
        <w:rPr>
          <w:rFonts w:ascii="Arial" w:hAnsi="Arial"/>
          <w:color w:val="auto"/>
        </w:rPr>
        <w:t xml:space="preserve">Natomiast w zakładzie  nadwyżka środków obrotowych, ujęta na koncie 870 </w:t>
      </w:r>
      <w:r w:rsidR="000C15F6" w:rsidRPr="00F0151C">
        <w:rPr>
          <w:rFonts w:ascii="Arial" w:hAnsi="Arial"/>
          <w:color w:val="auto"/>
        </w:rPr>
        <w:t xml:space="preserve">nie została wykazana w rachunku zysków i strat, natomiast </w:t>
      </w:r>
      <w:r w:rsidRPr="00F0151C">
        <w:rPr>
          <w:rFonts w:ascii="Arial" w:hAnsi="Arial"/>
          <w:color w:val="auto"/>
        </w:rPr>
        <w:t>wykazana została w:</w:t>
      </w:r>
    </w:p>
    <w:p w14:paraId="458C891E" w14:textId="69A39298" w:rsidR="00527AB5" w:rsidRPr="00F0151C" w:rsidRDefault="00065322" w:rsidP="00326634">
      <w:pPr>
        <w:pStyle w:val="Akapitzlist"/>
        <w:numPr>
          <w:ilvl w:val="0"/>
          <w:numId w:val="52"/>
        </w:numPr>
        <w:tabs>
          <w:tab w:val="left" w:pos="426"/>
        </w:tabs>
        <w:rPr>
          <w:rFonts w:ascii="Arial" w:hAnsi="Arial"/>
          <w:color w:val="auto"/>
          <w:sz w:val="22"/>
          <w:szCs w:val="22"/>
          <w:lang w:val="pl-PL"/>
        </w:rPr>
      </w:pPr>
      <w:r w:rsidRPr="00F0151C">
        <w:rPr>
          <w:rFonts w:ascii="Arial" w:hAnsi="Arial"/>
          <w:color w:val="auto"/>
          <w:sz w:val="22"/>
          <w:szCs w:val="22"/>
          <w:lang w:val="pl-PL"/>
        </w:rPr>
        <w:t xml:space="preserve">pasywach bilansu w pozycji III </w:t>
      </w:r>
      <w:r w:rsidRPr="00F0151C">
        <w:rPr>
          <w:rFonts w:ascii="Arial" w:hAnsi="Arial"/>
          <w:i/>
          <w:iCs/>
          <w:color w:val="auto"/>
          <w:sz w:val="22"/>
          <w:szCs w:val="22"/>
          <w:lang w:val="pl-PL"/>
        </w:rPr>
        <w:t>Odpisy z wyniku finansowego (nadwyżka środków obrotowych)</w:t>
      </w:r>
      <w:r w:rsidR="00261D79" w:rsidRPr="00F0151C">
        <w:rPr>
          <w:rFonts w:ascii="Arial" w:hAnsi="Arial"/>
          <w:color w:val="auto"/>
          <w:sz w:val="22"/>
          <w:szCs w:val="22"/>
          <w:lang w:val="pl-PL"/>
        </w:rPr>
        <w:t>,</w:t>
      </w:r>
    </w:p>
    <w:p w14:paraId="612A5595" w14:textId="0E9D7AB1" w:rsidR="00527AB5" w:rsidRPr="00F0151C" w:rsidRDefault="00261D79" w:rsidP="00326634">
      <w:pPr>
        <w:pStyle w:val="Akapitzlist"/>
        <w:numPr>
          <w:ilvl w:val="0"/>
          <w:numId w:val="52"/>
        </w:numPr>
        <w:tabs>
          <w:tab w:val="left" w:pos="426"/>
        </w:tabs>
        <w:rPr>
          <w:rFonts w:ascii="Arial" w:hAnsi="Arial"/>
          <w:color w:val="auto"/>
          <w:sz w:val="22"/>
          <w:szCs w:val="22"/>
          <w:lang w:val="pl-PL"/>
        </w:rPr>
      </w:pPr>
      <w:r w:rsidRPr="00F0151C">
        <w:rPr>
          <w:rFonts w:ascii="Arial" w:hAnsi="Arial"/>
          <w:color w:val="auto"/>
          <w:sz w:val="22"/>
          <w:szCs w:val="22"/>
          <w:lang w:val="pl-PL"/>
        </w:rPr>
        <w:t>zestawieniu zmian w funduszu w pozycji III Wynik finansowy 3. Nadwyżka środków obrotowych.</w:t>
      </w:r>
    </w:p>
    <w:p w14:paraId="3A8BCBDF" w14:textId="77777777" w:rsidR="001B0BCA" w:rsidRPr="00F0151C" w:rsidRDefault="001B0BCA" w:rsidP="001B0BCA">
      <w:pPr>
        <w:tabs>
          <w:tab w:val="left" w:pos="426"/>
        </w:tabs>
        <w:rPr>
          <w:rFonts w:ascii="Arial" w:hAnsi="Arial"/>
          <w:color w:val="auto"/>
        </w:rPr>
      </w:pPr>
    </w:p>
    <w:p w14:paraId="4B90A0D6" w14:textId="77777777" w:rsidR="001B0BCA" w:rsidRPr="00F0151C" w:rsidRDefault="001B0BCA" w:rsidP="001B0BCA">
      <w:pPr>
        <w:tabs>
          <w:tab w:val="left" w:pos="426"/>
        </w:tabs>
        <w:rPr>
          <w:rFonts w:ascii="Arial" w:hAnsi="Arial"/>
          <w:color w:val="auto"/>
        </w:rPr>
      </w:pPr>
    </w:p>
    <w:p w14:paraId="23C0162A" w14:textId="1F773E1C" w:rsidR="00783408" w:rsidRPr="00F0151C" w:rsidRDefault="00783408" w:rsidP="00893845">
      <w:pPr>
        <w:tabs>
          <w:tab w:val="left" w:pos="426"/>
        </w:tabs>
        <w:spacing w:after="0" w:line="360" w:lineRule="auto"/>
        <w:jc w:val="both"/>
        <w:rPr>
          <w:rFonts w:ascii="Arial" w:hAnsi="Arial"/>
          <w:strike/>
          <w:color w:val="auto"/>
        </w:rPr>
      </w:pPr>
      <w:r w:rsidRPr="00F0151C">
        <w:rPr>
          <w:rFonts w:ascii="Arial" w:hAnsi="Arial" w:cs="Arial"/>
          <w:color w:val="auto"/>
        </w:rPr>
        <w:lastRenderedPageBreak/>
        <w:tab/>
        <w:t>Weryfikacja wykazała zgodność obrotów dzienników cząstkowych z obrotami zestawienia obrotów i sald kont księgi głównej za 2022 r., zgodnie z art. 14 uor oraz zachowanie zasady ciągłości (art. 5 uor) poprzez zgodność bilansu otwarcia roku 202</w:t>
      </w:r>
      <w:r w:rsidR="00CD258E" w:rsidRPr="00F0151C">
        <w:rPr>
          <w:rFonts w:ascii="Arial" w:hAnsi="Arial" w:cs="Arial"/>
          <w:color w:val="auto"/>
        </w:rPr>
        <w:t>3</w:t>
      </w:r>
      <w:r w:rsidRPr="00F0151C">
        <w:rPr>
          <w:rFonts w:ascii="Arial" w:hAnsi="Arial" w:cs="Arial"/>
          <w:color w:val="auto"/>
        </w:rPr>
        <w:t xml:space="preserve"> r. z bilansem zamknięcia roku 2022 r.</w:t>
      </w:r>
    </w:p>
    <w:p w14:paraId="42ADCE35" w14:textId="77777777" w:rsidR="003D7B9E" w:rsidRPr="00F0151C" w:rsidRDefault="003D7B9E" w:rsidP="002230CE">
      <w:pPr>
        <w:overflowPunct/>
        <w:spacing w:after="0" w:line="360" w:lineRule="auto"/>
        <w:jc w:val="both"/>
        <w:rPr>
          <w:rFonts w:ascii="Arial" w:hAnsi="Arial" w:cs="Arial"/>
          <w:color w:val="auto"/>
        </w:rPr>
      </w:pPr>
    </w:p>
    <w:p w14:paraId="37B0D65A" w14:textId="204E6E47" w:rsidR="00EE32E0" w:rsidRPr="00F0151C" w:rsidRDefault="00EE32E0" w:rsidP="002230CE">
      <w:pPr>
        <w:pStyle w:val="Akapitzlist1"/>
        <w:numPr>
          <w:ilvl w:val="1"/>
          <w:numId w:val="1"/>
        </w:numPr>
        <w:ind w:left="567" w:hanging="567"/>
        <w:rPr>
          <w:rFonts w:ascii="Arial" w:hAnsi="Arial"/>
          <w:b/>
          <w:color w:val="auto"/>
          <w:sz w:val="22"/>
          <w:lang w:val="pl-PL"/>
        </w:rPr>
      </w:pPr>
      <w:r w:rsidRPr="00F0151C">
        <w:rPr>
          <w:rFonts w:ascii="Arial" w:hAnsi="Arial"/>
          <w:b/>
          <w:color w:val="auto"/>
          <w:sz w:val="22"/>
          <w:lang w:val="pl-PL"/>
        </w:rPr>
        <w:t>Celowość i gospodarność dysponowania środkami oraz prawidłowość ujmowania ich w księgach rachunkowych.</w:t>
      </w:r>
    </w:p>
    <w:p w14:paraId="25A0D2C7" w14:textId="12CB4113" w:rsidR="00EE32E0" w:rsidRPr="00F0151C" w:rsidRDefault="00EE32E0" w:rsidP="00EE32E0">
      <w:pPr>
        <w:spacing w:after="0" w:line="360" w:lineRule="auto"/>
        <w:ind w:firstLine="567"/>
        <w:jc w:val="both"/>
        <w:rPr>
          <w:rFonts w:ascii="Arial" w:hAnsi="Arial"/>
          <w:color w:val="auto"/>
        </w:rPr>
      </w:pPr>
      <w:r w:rsidRPr="00F0151C">
        <w:rPr>
          <w:rFonts w:ascii="Arial" w:hAnsi="Arial"/>
          <w:color w:val="auto"/>
        </w:rPr>
        <w:t>W toku czynności kontrolnych wyrywkowej weryfikacji poddano ujmowanie dokumentów źródłowych w księgach rachunkowych</w:t>
      </w:r>
      <w:r w:rsidR="006C7853" w:rsidRPr="00F0151C">
        <w:rPr>
          <w:rFonts w:ascii="Arial" w:hAnsi="Arial"/>
          <w:color w:val="auto"/>
        </w:rPr>
        <w:t>:</w:t>
      </w:r>
      <w:r w:rsidRPr="00F0151C">
        <w:rPr>
          <w:rFonts w:ascii="Arial" w:hAnsi="Arial"/>
          <w:color w:val="auto"/>
        </w:rPr>
        <w:t xml:space="preserve"> </w:t>
      </w:r>
    </w:p>
    <w:p w14:paraId="25C2E1D4" w14:textId="77777777" w:rsidR="00EE32E0" w:rsidRPr="00F0151C" w:rsidRDefault="00EE32E0" w:rsidP="00EE32E0">
      <w:pPr>
        <w:spacing w:after="0" w:line="360" w:lineRule="auto"/>
        <w:jc w:val="both"/>
        <w:rPr>
          <w:rFonts w:ascii="Arial" w:hAnsi="Arial"/>
          <w:color w:val="auto"/>
        </w:rPr>
      </w:pPr>
      <w:r w:rsidRPr="00F0151C">
        <w:rPr>
          <w:rFonts w:ascii="Arial" w:hAnsi="Arial"/>
          <w:b/>
          <w:color w:val="auto"/>
        </w:rPr>
        <w:t>Stwierdzono następujące nieprawidłowości:</w:t>
      </w:r>
      <w:r w:rsidRPr="00F0151C">
        <w:rPr>
          <w:rFonts w:ascii="Arial" w:hAnsi="Arial"/>
          <w:color w:val="auto"/>
        </w:rPr>
        <w:t xml:space="preserve"> </w:t>
      </w:r>
    </w:p>
    <w:p w14:paraId="79F49AEA" w14:textId="5144DB84" w:rsidR="00402ED4" w:rsidRPr="00F0151C" w:rsidRDefault="007C5778" w:rsidP="00835E41">
      <w:pPr>
        <w:pStyle w:val="Standard"/>
        <w:widowControl w:val="0"/>
        <w:numPr>
          <w:ilvl w:val="0"/>
          <w:numId w:val="27"/>
        </w:numPr>
        <w:tabs>
          <w:tab w:val="left" w:pos="-2410"/>
          <w:tab w:val="left" w:pos="490"/>
        </w:tabs>
        <w:overflowPunct/>
        <w:spacing w:after="0" w:line="360" w:lineRule="auto"/>
        <w:ind w:left="0" w:firstLine="0"/>
        <w:jc w:val="both"/>
        <w:rPr>
          <w:rFonts w:ascii="Arial" w:eastAsia="Times New Roman" w:hAnsi="Arial" w:cs="Arial"/>
          <w:color w:val="auto"/>
          <w:spacing w:val="-2"/>
        </w:rPr>
      </w:pPr>
      <w:r w:rsidRPr="00F0151C">
        <w:rPr>
          <w:rFonts w:ascii="Arial" w:hAnsi="Arial" w:cs="Arial"/>
          <w:color w:val="auto"/>
          <w:spacing w:val="-2"/>
        </w:rPr>
        <w:t xml:space="preserve">Nieewidencjonowanie </w:t>
      </w:r>
      <w:r w:rsidR="00E66FE6" w:rsidRPr="00F0151C">
        <w:rPr>
          <w:rFonts w:ascii="Arial" w:hAnsi="Arial" w:cs="Arial"/>
          <w:color w:val="auto"/>
          <w:spacing w:val="-2"/>
        </w:rPr>
        <w:t>na kontach pozabilansowych</w:t>
      </w:r>
      <w:r w:rsidR="006C7853" w:rsidRPr="00F0151C">
        <w:rPr>
          <w:rFonts w:ascii="Arial" w:hAnsi="Arial" w:cs="Arial"/>
          <w:color w:val="auto"/>
          <w:spacing w:val="-2"/>
        </w:rPr>
        <w:t xml:space="preserve"> </w:t>
      </w:r>
      <w:r w:rsidR="00E66FE6" w:rsidRPr="00F0151C">
        <w:rPr>
          <w:rFonts w:ascii="Arial" w:hAnsi="Arial" w:cs="Arial"/>
          <w:color w:val="auto"/>
          <w:spacing w:val="-2"/>
        </w:rPr>
        <w:t xml:space="preserve">zaangażowania </w:t>
      </w:r>
      <w:r w:rsidR="00A31EEC" w:rsidRPr="00F0151C">
        <w:rPr>
          <w:rFonts w:ascii="Arial" w:hAnsi="Arial" w:cs="Arial"/>
          <w:color w:val="auto"/>
          <w:spacing w:val="-2"/>
        </w:rPr>
        <w:t xml:space="preserve">wynikającego z zawartych umów, decyzji i innych postanowień </w:t>
      </w:r>
      <w:r w:rsidRPr="00F0151C">
        <w:rPr>
          <w:rFonts w:ascii="Arial" w:hAnsi="Arial" w:cs="Arial"/>
          <w:color w:val="auto"/>
          <w:spacing w:val="-2"/>
        </w:rPr>
        <w:t xml:space="preserve">na koncie księgowym 985 </w:t>
      </w:r>
      <w:r w:rsidRPr="00F0151C">
        <w:rPr>
          <w:rFonts w:ascii="Arial" w:hAnsi="Arial" w:cs="Arial"/>
          <w:i/>
          <w:iCs/>
          <w:color w:val="auto"/>
          <w:spacing w:val="-2"/>
        </w:rPr>
        <w:t>Zaangażowanie środków budżetowych samorządowych zakładów budżetowych</w:t>
      </w:r>
      <w:r w:rsidR="00E66FE6" w:rsidRPr="00F0151C">
        <w:rPr>
          <w:rFonts w:ascii="Arial" w:hAnsi="Arial" w:cs="Arial"/>
          <w:i/>
          <w:iCs/>
          <w:color w:val="auto"/>
          <w:spacing w:val="-2"/>
        </w:rPr>
        <w:t xml:space="preserve"> </w:t>
      </w:r>
      <w:r w:rsidR="00E66FE6" w:rsidRPr="00F0151C">
        <w:rPr>
          <w:rFonts w:ascii="Arial" w:hAnsi="Arial" w:cs="Arial"/>
          <w:color w:val="auto"/>
          <w:spacing w:val="-2"/>
        </w:rPr>
        <w:t>oraz planu finansowego</w:t>
      </w:r>
      <w:r w:rsidR="007632BE" w:rsidRPr="00F0151C">
        <w:rPr>
          <w:rFonts w:ascii="Arial" w:hAnsi="Arial" w:cs="Arial"/>
          <w:color w:val="auto"/>
          <w:spacing w:val="-2"/>
        </w:rPr>
        <w:t xml:space="preserve"> wydatków budżetowych</w:t>
      </w:r>
      <w:r w:rsidR="00E66FE6" w:rsidRPr="00F0151C">
        <w:rPr>
          <w:rFonts w:ascii="Arial" w:hAnsi="Arial" w:cs="Arial"/>
          <w:color w:val="auto"/>
          <w:spacing w:val="-2"/>
        </w:rPr>
        <w:t xml:space="preserve"> na koncie 980 </w:t>
      </w:r>
      <w:r w:rsidR="00E66FE6" w:rsidRPr="00F0151C">
        <w:rPr>
          <w:rFonts w:ascii="Arial" w:hAnsi="Arial" w:cs="Arial"/>
          <w:i/>
          <w:iCs/>
          <w:color w:val="auto"/>
          <w:spacing w:val="-2"/>
        </w:rPr>
        <w:t>Plan finansowy wydatków budżetowych</w:t>
      </w:r>
      <w:r w:rsidR="00E66FE6" w:rsidRPr="00F0151C">
        <w:rPr>
          <w:rFonts w:ascii="Arial" w:hAnsi="Arial" w:cs="Arial"/>
          <w:color w:val="auto"/>
          <w:spacing w:val="-2"/>
        </w:rPr>
        <w:t>,</w:t>
      </w:r>
      <w:r w:rsidRPr="00F0151C">
        <w:rPr>
          <w:rFonts w:ascii="Arial" w:hAnsi="Arial" w:cs="Arial"/>
          <w:color w:val="auto"/>
          <w:spacing w:val="-2"/>
        </w:rPr>
        <w:t xml:space="preserve"> ujęt</w:t>
      </w:r>
      <w:r w:rsidR="00E66FE6" w:rsidRPr="00F0151C">
        <w:rPr>
          <w:rFonts w:ascii="Arial" w:hAnsi="Arial" w:cs="Arial"/>
          <w:color w:val="auto"/>
          <w:spacing w:val="-2"/>
        </w:rPr>
        <w:t>ych</w:t>
      </w:r>
      <w:r w:rsidRPr="00F0151C">
        <w:rPr>
          <w:rFonts w:ascii="Arial" w:hAnsi="Arial" w:cs="Arial"/>
          <w:color w:val="auto"/>
          <w:spacing w:val="-2"/>
        </w:rPr>
        <w:t xml:space="preserve"> w</w:t>
      </w:r>
      <w:r w:rsidR="00A31EEC" w:rsidRPr="00F0151C">
        <w:rPr>
          <w:rFonts w:ascii="Arial" w:hAnsi="Arial" w:cs="Arial"/>
          <w:color w:val="auto"/>
          <w:spacing w:val="-2"/>
        </w:rPr>
        <w:t> </w:t>
      </w:r>
      <w:r w:rsidRPr="00F0151C">
        <w:rPr>
          <w:rFonts w:ascii="Arial" w:hAnsi="Arial" w:cs="Arial"/>
          <w:color w:val="auto"/>
          <w:spacing w:val="-2"/>
        </w:rPr>
        <w:t xml:space="preserve">Zakładowym </w:t>
      </w:r>
      <w:r w:rsidR="00345465" w:rsidRPr="00F0151C">
        <w:rPr>
          <w:rFonts w:ascii="Arial" w:hAnsi="Arial" w:cs="Arial"/>
          <w:color w:val="auto"/>
          <w:spacing w:val="-2"/>
        </w:rPr>
        <w:t>P</w:t>
      </w:r>
      <w:r w:rsidRPr="00F0151C">
        <w:rPr>
          <w:rFonts w:ascii="Arial" w:hAnsi="Arial" w:cs="Arial"/>
          <w:color w:val="auto"/>
          <w:spacing w:val="-2"/>
        </w:rPr>
        <w:t xml:space="preserve">lanie </w:t>
      </w:r>
      <w:r w:rsidR="00345465" w:rsidRPr="00F0151C">
        <w:rPr>
          <w:rFonts w:ascii="Arial" w:hAnsi="Arial" w:cs="Arial"/>
          <w:color w:val="auto"/>
          <w:spacing w:val="-2"/>
        </w:rPr>
        <w:t>K</w:t>
      </w:r>
      <w:r w:rsidRPr="00F0151C">
        <w:rPr>
          <w:rFonts w:ascii="Arial" w:hAnsi="Arial" w:cs="Arial"/>
          <w:color w:val="auto"/>
          <w:spacing w:val="-2"/>
        </w:rPr>
        <w:t>ont</w:t>
      </w:r>
      <w:r w:rsidR="00345465" w:rsidRPr="00F0151C">
        <w:rPr>
          <w:rFonts w:ascii="Arial" w:hAnsi="Arial" w:cs="Arial"/>
          <w:color w:val="auto"/>
          <w:spacing w:val="-2"/>
        </w:rPr>
        <w:t xml:space="preserve"> MZBM Tychy</w:t>
      </w:r>
      <w:r w:rsidRPr="00F0151C">
        <w:rPr>
          <w:rFonts w:ascii="Arial" w:hAnsi="Arial" w:cs="Arial"/>
          <w:color w:val="auto"/>
          <w:spacing w:val="-2"/>
        </w:rPr>
        <w:t xml:space="preserve">. </w:t>
      </w:r>
      <w:r w:rsidR="00E66FE6" w:rsidRPr="00F0151C">
        <w:rPr>
          <w:rFonts w:ascii="Arial" w:hAnsi="Arial" w:cs="Arial"/>
          <w:color w:val="auto"/>
          <w:spacing w:val="-2"/>
        </w:rPr>
        <w:t>Zgodnie z wyjaśnieniem uzyskanym w trakcie kontroli oraz zapisami polityki rachunkowości „o</w:t>
      </w:r>
      <w:r w:rsidR="00E66FE6" w:rsidRPr="00F0151C">
        <w:rPr>
          <w:rFonts w:ascii="Arial" w:hAnsi="Arial" w:cs="Arial"/>
          <w:color w:val="auto"/>
        </w:rPr>
        <w:t>becny program informatyczny ZSI Papirus SQL umożliwia w module „Rejestr Faktur” w</w:t>
      </w:r>
      <w:r w:rsidR="00893845" w:rsidRPr="00F0151C">
        <w:rPr>
          <w:rFonts w:ascii="Arial" w:hAnsi="Arial" w:cs="Arial"/>
          <w:color w:val="auto"/>
        </w:rPr>
        <w:t> </w:t>
      </w:r>
      <w:r w:rsidR="00E66FE6" w:rsidRPr="00F0151C">
        <w:rPr>
          <w:rFonts w:ascii="Arial" w:hAnsi="Arial" w:cs="Arial"/>
          <w:color w:val="auto"/>
        </w:rPr>
        <w:t>zakładce „Kontrola budżetu” ewidencjonowanie prawnego zaangażowania począwszy od wniosku, poprzez ścieżkę postępowania w</w:t>
      </w:r>
      <w:r w:rsidR="00345465" w:rsidRPr="00F0151C">
        <w:rPr>
          <w:rFonts w:ascii="Arial" w:hAnsi="Arial" w:cs="Arial"/>
          <w:color w:val="auto"/>
        </w:rPr>
        <w:t> </w:t>
      </w:r>
      <w:r w:rsidR="00E66FE6" w:rsidRPr="00F0151C">
        <w:rPr>
          <w:rFonts w:ascii="Arial" w:hAnsi="Arial" w:cs="Arial"/>
          <w:color w:val="auto"/>
        </w:rPr>
        <w:t>zakresie zamówień publicznych do zawartej umowy, a skończywszy na otrzymanych fakturach z</w:t>
      </w:r>
      <w:r w:rsidR="00A31EEC" w:rsidRPr="00F0151C">
        <w:rPr>
          <w:rFonts w:ascii="Arial" w:hAnsi="Arial" w:cs="Arial"/>
          <w:color w:val="auto"/>
        </w:rPr>
        <w:t> </w:t>
      </w:r>
      <w:r w:rsidR="00E66FE6" w:rsidRPr="00F0151C">
        <w:rPr>
          <w:rFonts w:ascii="Arial" w:hAnsi="Arial" w:cs="Arial"/>
          <w:color w:val="auto"/>
        </w:rPr>
        <w:t>uwzględnieniem powyższych zapisów. Trwają prace nad powiązaniem ewidencji w module „Rejestr Faktur” z modułem „Finanse i</w:t>
      </w:r>
      <w:r w:rsidR="007632BE" w:rsidRPr="00F0151C">
        <w:rPr>
          <w:rFonts w:ascii="Arial" w:hAnsi="Arial" w:cs="Arial"/>
          <w:color w:val="auto"/>
        </w:rPr>
        <w:t> </w:t>
      </w:r>
      <w:r w:rsidR="00893845" w:rsidRPr="00F0151C">
        <w:rPr>
          <w:rFonts w:ascii="Arial" w:eastAsia="Times New Roman" w:hAnsi="Arial" w:cs="Arial"/>
          <w:color w:val="auto"/>
          <w:spacing w:val="-2"/>
        </w:rPr>
        <w:t> </w:t>
      </w:r>
      <w:r w:rsidR="00E66FE6" w:rsidRPr="00F0151C">
        <w:rPr>
          <w:rFonts w:ascii="Arial" w:hAnsi="Arial" w:cs="Arial"/>
          <w:color w:val="auto"/>
        </w:rPr>
        <w:t xml:space="preserve">Księgowość” w zakresie dokonywania księgowań na koncie 985. </w:t>
      </w:r>
      <w:r w:rsidR="00095C38" w:rsidRPr="00F0151C">
        <w:rPr>
          <w:rFonts w:ascii="Arial" w:hAnsi="Arial" w:cs="Arial"/>
          <w:color w:val="auto"/>
          <w:spacing w:val="-2"/>
        </w:rPr>
        <w:t xml:space="preserve">Obowiązek </w:t>
      </w:r>
      <w:r w:rsidR="00A31EEC" w:rsidRPr="00F0151C">
        <w:rPr>
          <w:rFonts w:ascii="Arial" w:hAnsi="Arial" w:cs="Arial"/>
          <w:color w:val="auto"/>
          <w:spacing w:val="-2"/>
        </w:rPr>
        <w:t xml:space="preserve">powyższej ewidencji </w:t>
      </w:r>
      <w:r w:rsidR="00095C38" w:rsidRPr="00F0151C">
        <w:rPr>
          <w:rFonts w:ascii="Arial" w:hAnsi="Arial" w:cs="Arial"/>
          <w:color w:val="auto"/>
          <w:spacing w:val="-2"/>
        </w:rPr>
        <w:t xml:space="preserve">wynika z </w:t>
      </w:r>
      <w:r w:rsidR="00345465" w:rsidRPr="00F0151C">
        <w:rPr>
          <w:rFonts w:ascii="Arial" w:hAnsi="Arial" w:cs="Arial"/>
          <w:color w:val="auto"/>
          <w:spacing w:val="-2"/>
        </w:rPr>
        <w:t>art. 1</w:t>
      </w:r>
      <w:r w:rsidR="00F66FF5" w:rsidRPr="00F0151C">
        <w:rPr>
          <w:rFonts w:ascii="Arial" w:hAnsi="Arial" w:cs="Arial"/>
          <w:color w:val="auto"/>
          <w:spacing w:val="-2"/>
        </w:rPr>
        <w:t>5</w:t>
      </w:r>
      <w:r w:rsidR="00345465" w:rsidRPr="00F0151C">
        <w:rPr>
          <w:rFonts w:ascii="Arial" w:hAnsi="Arial" w:cs="Arial"/>
          <w:color w:val="auto"/>
          <w:spacing w:val="-2"/>
        </w:rPr>
        <w:t xml:space="preserve"> ust. </w:t>
      </w:r>
      <w:r w:rsidR="00F66FF5" w:rsidRPr="00F0151C">
        <w:rPr>
          <w:rFonts w:ascii="Arial" w:hAnsi="Arial" w:cs="Arial"/>
          <w:color w:val="auto"/>
          <w:spacing w:val="-2"/>
        </w:rPr>
        <w:t>2</w:t>
      </w:r>
      <w:r w:rsidR="00345465" w:rsidRPr="00F0151C">
        <w:rPr>
          <w:rFonts w:ascii="Arial" w:hAnsi="Arial" w:cs="Arial"/>
          <w:color w:val="auto"/>
          <w:spacing w:val="-2"/>
        </w:rPr>
        <w:t xml:space="preserve"> oraz </w:t>
      </w:r>
      <w:r w:rsidR="00095C38" w:rsidRPr="00F0151C">
        <w:rPr>
          <w:rFonts w:ascii="Arial" w:hAnsi="Arial" w:cs="Arial"/>
          <w:color w:val="auto"/>
          <w:spacing w:val="-2"/>
        </w:rPr>
        <w:t xml:space="preserve">art. 40 ust 2 pkt 2 ustawy o finansach publicznych oraz z rozporządzenia </w:t>
      </w:r>
      <w:r w:rsidR="00345465" w:rsidRPr="00F0151C">
        <w:rPr>
          <w:rFonts w:ascii="Arial" w:hAnsi="Arial" w:cs="Arial"/>
          <w:color w:val="auto"/>
          <w:spacing w:val="-2"/>
        </w:rPr>
        <w:t>Ministra Rozwoju i Finansów z dnia 13 września 2017 r. w sprawie rachunkowości oraz planów kont dla budżetu państwa, budżetów jednostek samorządu terytorialnego, jednostek budżetowych, samorządowych zakładów budżetowych</w:t>
      </w:r>
      <w:r w:rsidR="003D6166" w:rsidRPr="00F0151C">
        <w:rPr>
          <w:rFonts w:ascii="Arial" w:hAnsi="Arial" w:cs="Arial"/>
          <w:color w:val="auto"/>
          <w:spacing w:val="-2"/>
        </w:rPr>
        <w:t xml:space="preserve"> (…) </w:t>
      </w:r>
      <w:r w:rsidR="00095C38" w:rsidRPr="00F0151C">
        <w:rPr>
          <w:rFonts w:ascii="Arial" w:hAnsi="Arial" w:cs="Arial"/>
          <w:color w:val="auto"/>
          <w:spacing w:val="-2"/>
        </w:rPr>
        <w:t>zgodnie z którym konto 985 służy do ewidencji prawnego zaangażowania środków pieniężnych dotyczących realizacji planu finansowego samorządowych zakładów budżetowych niezależnie od tego, w którym roku budżetowym nastąpi wydatek finansowany tymi środkami</w:t>
      </w:r>
      <w:r w:rsidR="00A31EEC" w:rsidRPr="00F0151C">
        <w:rPr>
          <w:rFonts w:ascii="Arial" w:hAnsi="Arial" w:cs="Arial"/>
          <w:color w:val="auto"/>
          <w:spacing w:val="-2"/>
        </w:rPr>
        <w:t xml:space="preserve">, a konto 980 </w:t>
      </w:r>
      <w:r w:rsidR="00345465" w:rsidRPr="00F0151C">
        <w:rPr>
          <w:rFonts w:ascii="Arial" w:hAnsi="Arial" w:cs="Arial"/>
          <w:color w:val="auto"/>
          <w:spacing w:val="-2"/>
        </w:rPr>
        <w:t>służy do ewidencji planu finansowego wydatków budżetowych dysponenta środków budżetowych</w:t>
      </w:r>
      <w:r w:rsidR="00095C38" w:rsidRPr="00F0151C">
        <w:rPr>
          <w:rFonts w:ascii="Arial" w:hAnsi="Arial" w:cs="Arial"/>
          <w:color w:val="auto"/>
          <w:spacing w:val="-2"/>
        </w:rPr>
        <w:t>.</w:t>
      </w:r>
      <w:r w:rsidR="00A31EEC" w:rsidRPr="00F0151C">
        <w:rPr>
          <w:rFonts w:ascii="Arial" w:hAnsi="Arial" w:cs="Arial"/>
          <w:color w:val="auto"/>
          <w:spacing w:val="-2"/>
        </w:rPr>
        <w:t xml:space="preserve"> </w:t>
      </w:r>
      <w:r w:rsidR="00A31EEC" w:rsidRPr="00F0151C">
        <w:rPr>
          <w:rFonts w:ascii="Arial" w:hAnsi="Arial" w:cs="Arial"/>
          <w:b/>
          <w:bCs/>
          <w:color w:val="auto"/>
          <w:spacing w:val="-2"/>
        </w:rPr>
        <w:t>Powyższe stanowiło wniosek pokontrolny w</w:t>
      </w:r>
      <w:r w:rsidR="00345465" w:rsidRPr="00F0151C">
        <w:rPr>
          <w:rFonts w:ascii="Arial" w:hAnsi="Arial" w:cs="Arial"/>
          <w:b/>
          <w:bCs/>
          <w:color w:val="auto"/>
          <w:spacing w:val="-2"/>
        </w:rPr>
        <w:t> </w:t>
      </w:r>
      <w:r w:rsidR="00A31EEC" w:rsidRPr="00F0151C">
        <w:rPr>
          <w:rFonts w:ascii="Arial" w:hAnsi="Arial" w:cs="Arial"/>
          <w:b/>
          <w:bCs/>
          <w:color w:val="auto"/>
          <w:spacing w:val="-2"/>
        </w:rPr>
        <w:t>poprzedniej kontroli.</w:t>
      </w:r>
    </w:p>
    <w:p w14:paraId="1EE2CF3E" w14:textId="4F43DFFC" w:rsidR="00EC5014" w:rsidRPr="00F0151C" w:rsidRDefault="00EC5014" w:rsidP="00835E41">
      <w:pPr>
        <w:pStyle w:val="Standard"/>
        <w:widowControl w:val="0"/>
        <w:numPr>
          <w:ilvl w:val="0"/>
          <w:numId w:val="27"/>
        </w:numPr>
        <w:tabs>
          <w:tab w:val="left" w:pos="-2410"/>
          <w:tab w:val="left" w:pos="490"/>
        </w:tabs>
        <w:overflowPunct/>
        <w:spacing w:after="0" w:line="360" w:lineRule="auto"/>
        <w:ind w:left="0" w:firstLine="0"/>
        <w:jc w:val="both"/>
        <w:rPr>
          <w:rFonts w:ascii="Arial" w:eastAsia="Times New Roman" w:hAnsi="Arial" w:cs="Arial"/>
          <w:color w:val="auto"/>
          <w:spacing w:val="-2"/>
        </w:rPr>
      </w:pPr>
      <w:r w:rsidRPr="00F0151C">
        <w:rPr>
          <w:rFonts w:ascii="Arial" w:eastAsia="Times New Roman" w:hAnsi="Arial" w:cs="Arial"/>
          <w:color w:val="auto"/>
          <w:spacing w:val="-2"/>
        </w:rPr>
        <w:t>Brak możliwości weryfikacji przestrzegania przez zakład jednej z podstawowych zasad rachunkowości, odnoszącej się do kont księgowych, tj. zasady podwójnego zapisu operacji gospodarczej</w:t>
      </w:r>
      <w:r w:rsidR="007C1048" w:rsidRPr="00F0151C">
        <w:rPr>
          <w:rFonts w:ascii="Arial" w:eastAsia="Times New Roman" w:hAnsi="Arial" w:cs="Arial"/>
          <w:color w:val="auto"/>
          <w:spacing w:val="-2"/>
        </w:rPr>
        <w:t>.</w:t>
      </w:r>
      <w:r w:rsidRPr="00F0151C">
        <w:rPr>
          <w:rFonts w:ascii="Arial" w:eastAsia="Times New Roman" w:hAnsi="Arial" w:cs="Arial"/>
          <w:color w:val="auto"/>
          <w:spacing w:val="-2"/>
        </w:rPr>
        <w:t xml:space="preserve"> </w:t>
      </w:r>
      <w:r w:rsidR="007C1048" w:rsidRPr="00F0151C">
        <w:rPr>
          <w:rFonts w:ascii="Arial" w:eastAsia="Times New Roman" w:hAnsi="Arial" w:cs="Arial"/>
          <w:color w:val="auto"/>
          <w:spacing w:val="-2"/>
        </w:rPr>
        <w:t>Z</w:t>
      </w:r>
      <w:r w:rsidRPr="00F0151C">
        <w:rPr>
          <w:rFonts w:ascii="Arial" w:eastAsia="Times New Roman" w:hAnsi="Arial" w:cs="Arial"/>
          <w:color w:val="auto"/>
          <w:spacing w:val="-2"/>
        </w:rPr>
        <w:t>godnie</w:t>
      </w:r>
      <w:r w:rsidR="007C1048" w:rsidRPr="00F0151C">
        <w:rPr>
          <w:rFonts w:ascii="Arial" w:eastAsia="Times New Roman" w:hAnsi="Arial" w:cs="Arial"/>
          <w:color w:val="auto"/>
          <w:spacing w:val="-2"/>
        </w:rPr>
        <w:t xml:space="preserve"> z art. 15 ust 1 „</w:t>
      </w:r>
      <w:r w:rsidR="00306CB9" w:rsidRPr="00F0151C">
        <w:rPr>
          <w:rFonts w:ascii="Arial" w:eastAsia="Times New Roman" w:hAnsi="Arial" w:cs="Arial"/>
          <w:color w:val="auto"/>
          <w:spacing w:val="-2"/>
        </w:rPr>
        <w:t>K</w:t>
      </w:r>
      <w:r w:rsidR="007C1048" w:rsidRPr="00F0151C">
        <w:rPr>
          <w:rFonts w:ascii="Arial" w:eastAsia="Times New Roman" w:hAnsi="Arial" w:cs="Arial"/>
          <w:color w:val="auto"/>
          <w:spacing w:val="-2"/>
        </w:rPr>
        <w:t>onta księgi głównej zawierają zapisy o zdarzeniach w</w:t>
      </w:r>
      <w:r w:rsidR="006F57D6" w:rsidRPr="00F0151C">
        <w:rPr>
          <w:rFonts w:ascii="Arial" w:eastAsia="Times New Roman" w:hAnsi="Arial" w:cs="Arial"/>
          <w:color w:val="auto"/>
          <w:spacing w:val="-2"/>
        </w:rPr>
        <w:t> </w:t>
      </w:r>
      <w:r w:rsidR="007C1048" w:rsidRPr="00F0151C">
        <w:rPr>
          <w:rFonts w:ascii="Arial" w:eastAsia="Times New Roman" w:hAnsi="Arial" w:cs="Arial"/>
          <w:color w:val="auto"/>
          <w:spacing w:val="-2"/>
        </w:rPr>
        <w:t xml:space="preserve">ujęciu systematycznym. Na kontach księgi głównej obowiązuje ujęcie zarejestrowanych uprzednio lub równocześnie w dzienniku zdarzeń, zgodnie z zasadą podwójnego zapisu”. </w:t>
      </w:r>
      <w:r w:rsidR="00835E41" w:rsidRPr="00F0151C">
        <w:rPr>
          <w:rFonts w:ascii="Arial" w:eastAsia="Times New Roman" w:hAnsi="Arial" w:cs="Arial"/>
          <w:color w:val="auto"/>
          <w:spacing w:val="-2"/>
        </w:rPr>
        <w:lastRenderedPageBreak/>
        <w:t xml:space="preserve">Ponadto z zapisów art. 14 ust 4 przy prowadzeniu ksiąg rachunkowych przy użyciu komputera zapis księgowy powinien posiadać automatycznie nadany numer pozycji, pod którą został wprowadzony do dziennika. </w:t>
      </w:r>
      <w:r w:rsidR="007C1048" w:rsidRPr="00F0151C">
        <w:rPr>
          <w:rFonts w:ascii="Arial" w:eastAsia="Times New Roman" w:hAnsi="Arial" w:cs="Arial"/>
          <w:color w:val="auto"/>
          <w:spacing w:val="-2"/>
        </w:rPr>
        <w:t>Powyższe oznacza, że</w:t>
      </w:r>
      <w:r w:rsidRPr="00F0151C">
        <w:rPr>
          <w:rFonts w:ascii="Arial" w:eastAsia="Times New Roman" w:hAnsi="Arial" w:cs="Arial"/>
          <w:color w:val="auto"/>
          <w:spacing w:val="-2"/>
        </w:rPr>
        <w:t xml:space="preserve"> każda operacja gospodarcza powinna być ujmowana na przynajmniej dwóch korespondujących ze sobą kontach – w tej samej kwocie i po przeciwnych stronach</w:t>
      </w:r>
      <w:r w:rsidR="00835E41" w:rsidRPr="00F0151C">
        <w:rPr>
          <w:rFonts w:ascii="Arial" w:eastAsia="Times New Roman" w:hAnsi="Arial" w:cs="Arial"/>
          <w:color w:val="auto"/>
          <w:spacing w:val="-2"/>
        </w:rPr>
        <w:t>, a zapisy księgowe winny być kolejno numerowane</w:t>
      </w:r>
      <w:r w:rsidRPr="00F0151C">
        <w:rPr>
          <w:rFonts w:ascii="Arial" w:eastAsia="Times New Roman" w:hAnsi="Arial" w:cs="Arial"/>
          <w:color w:val="auto"/>
          <w:spacing w:val="-2"/>
        </w:rPr>
        <w:t>.</w:t>
      </w:r>
      <w:r w:rsidR="007C1048" w:rsidRPr="00F0151C">
        <w:rPr>
          <w:rFonts w:ascii="Arial" w:eastAsia="Times New Roman" w:hAnsi="Arial" w:cs="Arial"/>
          <w:color w:val="auto"/>
          <w:spacing w:val="-2"/>
        </w:rPr>
        <w:t xml:space="preserve"> W zakładzie przykładowo faktur</w:t>
      </w:r>
      <w:r w:rsidR="00BF08FA" w:rsidRPr="00F0151C">
        <w:rPr>
          <w:rFonts w:ascii="Arial" w:eastAsia="Times New Roman" w:hAnsi="Arial" w:cs="Arial"/>
          <w:color w:val="auto"/>
          <w:spacing w:val="-2"/>
        </w:rPr>
        <w:t>ę</w:t>
      </w:r>
      <w:r w:rsidR="007C1048" w:rsidRPr="00F0151C">
        <w:rPr>
          <w:rFonts w:ascii="Arial" w:eastAsia="Times New Roman" w:hAnsi="Arial" w:cs="Arial"/>
          <w:color w:val="auto"/>
          <w:spacing w:val="-2"/>
        </w:rPr>
        <w:t xml:space="preserve"> zakupu</w:t>
      </w:r>
      <w:r w:rsidR="00BF08FA" w:rsidRPr="00F0151C">
        <w:rPr>
          <w:rFonts w:ascii="Arial" w:eastAsia="Times New Roman" w:hAnsi="Arial" w:cs="Arial"/>
          <w:color w:val="auto"/>
          <w:spacing w:val="-2"/>
        </w:rPr>
        <w:t xml:space="preserve"> energii elektrycznej nr O/S2/0001662/22 z</w:t>
      </w:r>
      <w:r w:rsidR="006F57D6" w:rsidRPr="00F0151C">
        <w:rPr>
          <w:rFonts w:ascii="Arial" w:eastAsia="Times New Roman" w:hAnsi="Arial" w:cs="Arial"/>
          <w:color w:val="auto"/>
          <w:spacing w:val="-2"/>
        </w:rPr>
        <w:t> </w:t>
      </w:r>
      <w:r w:rsidR="00BF08FA" w:rsidRPr="00F0151C">
        <w:rPr>
          <w:rFonts w:ascii="Arial" w:eastAsia="Times New Roman" w:hAnsi="Arial" w:cs="Arial"/>
          <w:color w:val="auto"/>
          <w:spacing w:val="-2"/>
        </w:rPr>
        <w:t>11.03.2022 r. na kwotę 48,41 zł zadekretowano następująco:</w:t>
      </w:r>
    </w:p>
    <w:tbl>
      <w:tblPr>
        <w:tblStyle w:val="Tabela-Siatka"/>
        <w:tblW w:w="8828" w:type="dxa"/>
        <w:jc w:val="center"/>
        <w:tblLook w:val="04A0" w:firstRow="1" w:lastRow="0" w:firstColumn="1" w:lastColumn="0" w:noHBand="0" w:noVBand="1"/>
      </w:tblPr>
      <w:tblGrid>
        <w:gridCol w:w="1129"/>
        <w:gridCol w:w="2694"/>
        <w:gridCol w:w="1426"/>
        <w:gridCol w:w="1426"/>
        <w:gridCol w:w="2153"/>
      </w:tblGrid>
      <w:tr w:rsidR="00F0151C" w:rsidRPr="00F0151C" w14:paraId="642CFC16" w14:textId="280A74BC" w:rsidTr="006F57D6">
        <w:trPr>
          <w:trHeight w:val="284"/>
          <w:jc w:val="center"/>
        </w:trPr>
        <w:tc>
          <w:tcPr>
            <w:tcW w:w="1129" w:type="dxa"/>
            <w:shd w:val="clear" w:color="auto" w:fill="F2F2F2" w:themeFill="background1" w:themeFillShade="F2"/>
            <w:vAlign w:val="center"/>
          </w:tcPr>
          <w:p w14:paraId="3EECD00C" w14:textId="214B7E26" w:rsidR="006F57D6" w:rsidRPr="00F0151C" w:rsidRDefault="006F57D6" w:rsidP="00BF08FA">
            <w:pPr>
              <w:pStyle w:val="Standard"/>
              <w:widowControl w:val="0"/>
              <w:tabs>
                <w:tab w:val="left" w:pos="-2410"/>
                <w:tab w:val="left" w:pos="490"/>
              </w:tabs>
              <w:overflowPunct/>
              <w:jc w:val="center"/>
              <w:rPr>
                <w:rFonts w:ascii="Arial" w:eastAsia="Times New Roman" w:hAnsi="Arial" w:cs="Arial"/>
                <w:b/>
                <w:bCs/>
                <w:color w:val="auto"/>
                <w:spacing w:val="-2"/>
                <w:sz w:val="16"/>
                <w:szCs w:val="16"/>
              </w:rPr>
            </w:pPr>
            <w:r w:rsidRPr="00F0151C">
              <w:rPr>
                <w:rFonts w:ascii="Arial" w:eastAsia="Times New Roman" w:hAnsi="Arial" w:cs="Arial"/>
                <w:b/>
                <w:bCs/>
                <w:color w:val="auto"/>
                <w:spacing w:val="-2"/>
                <w:sz w:val="16"/>
                <w:szCs w:val="16"/>
              </w:rPr>
              <w:t>Nr pozycji w dzienniku</w:t>
            </w:r>
          </w:p>
        </w:tc>
        <w:tc>
          <w:tcPr>
            <w:tcW w:w="2694" w:type="dxa"/>
            <w:shd w:val="clear" w:color="auto" w:fill="F2F2F2" w:themeFill="background1" w:themeFillShade="F2"/>
            <w:vAlign w:val="center"/>
          </w:tcPr>
          <w:p w14:paraId="2E0E104D" w14:textId="2F788E03" w:rsidR="006F57D6" w:rsidRPr="00F0151C" w:rsidRDefault="006F57D6" w:rsidP="00BF08FA">
            <w:pPr>
              <w:pStyle w:val="Standard"/>
              <w:widowControl w:val="0"/>
              <w:tabs>
                <w:tab w:val="left" w:pos="-2410"/>
                <w:tab w:val="left" w:pos="490"/>
              </w:tabs>
              <w:overflowPunct/>
              <w:jc w:val="center"/>
              <w:rPr>
                <w:rFonts w:ascii="Arial" w:eastAsia="Times New Roman" w:hAnsi="Arial" w:cs="Arial"/>
                <w:b/>
                <w:bCs/>
                <w:color w:val="auto"/>
                <w:spacing w:val="-2"/>
                <w:sz w:val="16"/>
                <w:szCs w:val="16"/>
              </w:rPr>
            </w:pPr>
            <w:r w:rsidRPr="00F0151C">
              <w:rPr>
                <w:rFonts w:ascii="Arial" w:eastAsia="Times New Roman" w:hAnsi="Arial" w:cs="Arial"/>
                <w:b/>
                <w:bCs/>
                <w:color w:val="auto"/>
                <w:spacing w:val="-2"/>
                <w:sz w:val="16"/>
                <w:szCs w:val="16"/>
              </w:rPr>
              <w:t>Konto księgowe</w:t>
            </w:r>
          </w:p>
        </w:tc>
        <w:tc>
          <w:tcPr>
            <w:tcW w:w="1426" w:type="dxa"/>
            <w:shd w:val="clear" w:color="auto" w:fill="F2F2F2" w:themeFill="background1" w:themeFillShade="F2"/>
            <w:vAlign w:val="center"/>
          </w:tcPr>
          <w:p w14:paraId="6C942AF8" w14:textId="21C52BCD" w:rsidR="006F57D6" w:rsidRPr="00F0151C" w:rsidRDefault="006F57D6" w:rsidP="00BF08FA">
            <w:pPr>
              <w:pStyle w:val="Standard"/>
              <w:widowControl w:val="0"/>
              <w:tabs>
                <w:tab w:val="left" w:pos="-2410"/>
                <w:tab w:val="left" w:pos="490"/>
              </w:tabs>
              <w:overflowPunct/>
              <w:jc w:val="center"/>
              <w:rPr>
                <w:rFonts w:ascii="Arial" w:eastAsia="Times New Roman" w:hAnsi="Arial" w:cs="Arial"/>
                <w:b/>
                <w:bCs/>
                <w:color w:val="auto"/>
                <w:spacing w:val="-2"/>
                <w:sz w:val="16"/>
                <w:szCs w:val="16"/>
              </w:rPr>
            </w:pPr>
            <w:r w:rsidRPr="00F0151C">
              <w:rPr>
                <w:rFonts w:ascii="Arial" w:eastAsia="Times New Roman" w:hAnsi="Arial" w:cs="Arial"/>
                <w:b/>
                <w:bCs/>
                <w:color w:val="auto"/>
                <w:spacing w:val="-2"/>
                <w:sz w:val="16"/>
                <w:szCs w:val="16"/>
              </w:rPr>
              <w:t>Strona Wn</w:t>
            </w:r>
          </w:p>
        </w:tc>
        <w:tc>
          <w:tcPr>
            <w:tcW w:w="1426" w:type="dxa"/>
            <w:shd w:val="clear" w:color="auto" w:fill="F2F2F2" w:themeFill="background1" w:themeFillShade="F2"/>
            <w:vAlign w:val="center"/>
          </w:tcPr>
          <w:p w14:paraId="0B415380" w14:textId="1A3CFB3C" w:rsidR="006F57D6" w:rsidRPr="00F0151C" w:rsidRDefault="006F57D6" w:rsidP="00BF08FA">
            <w:pPr>
              <w:pStyle w:val="Standard"/>
              <w:widowControl w:val="0"/>
              <w:tabs>
                <w:tab w:val="left" w:pos="-2410"/>
                <w:tab w:val="left" w:pos="490"/>
              </w:tabs>
              <w:overflowPunct/>
              <w:jc w:val="center"/>
              <w:rPr>
                <w:rFonts w:ascii="Arial" w:eastAsia="Times New Roman" w:hAnsi="Arial" w:cs="Arial"/>
                <w:b/>
                <w:bCs/>
                <w:color w:val="auto"/>
                <w:spacing w:val="-2"/>
                <w:sz w:val="16"/>
                <w:szCs w:val="16"/>
              </w:rPr>
            </w:pPr>
            <w:r w:rsidRPr="00F0151C">
              <w:rPr>
                <w:rFonts w:ascii="Arial" w:eastAsia="Times New Roman" w:hAnsi="Arial" w:cs="Arial"/>
                <w:b/>
                <w:bCs/>
                <w:color w:val="auto"/>
                <w:spacing w:val="-2"/>
                <w:sz w:val="16"/>
                <w:szCs w:val="16"/>
              </w:rPr>
              <w:t>Strona Ma</w:t>
            </w:r>
          </w:p>
        </w:tc>
        <w:tc>
          <w:tcPr>
            <w:tcW w:w="2153" w:type="dxa"/>
            <w:shd w:val="clear" w:color="auto" w:fill="F2F2F2" w:themeFill="background1" w:themeFillShade="F2"/>
            <w:vAlign w:val="center"/>
          </w:tcPr>
          <w:p w14:paraId="342D2352" w14:textId="31281D0C" w:rsidR="006F57D6" w:rsidRPr="00F0151C" w:rsidRDefault="006F57D6" w:rsidP="00BF08FA">
            <w:pPr>
              <w:pStyle w:val="Standard"/>
              <w:widowControl w:val="0"/>
              <w:tabs>
                <w:tab w:val="left" w:pos="-2410"/>
                <w:tab w:val="left" w:pos="490"/>
              </w:tabs>
              <w:overflowPunct/>
              <w:jc w:val="center"/>
              <w:rPr>
                <w:rFonts w:ascii="Arial" w:eastAsia="Times New Roman" w:hAnsi="Arial" w:cs="Arial"/>
                <w:b/>
                <w:bCs/>
                <w:color w:val="auto"/>
                <w:spacing w:val="-2"/>
                <w:sz w:val="16"/>
                <w:szCs w:val="16"/>
              </w:rPr>
            </w:pPr>
            <w:r w:rsidRPr="00F0151C">
              <w:rPr>
                <w:rFonts w:ascii="Arial" w:eastAsia="Times New Roman" w:hAnsi="Arial" w:cs="Arial"/>
                <w:b/>
                <w:bCs/>
                <w:color w:val="auto"/>
                <w:spacing w:val="-2"/>
                <w:sz w:val="16"/>
                <w:szCs w:val="16"/>
              </w:rPr>
              <w:t>Opis pozycji dekretu</w:t>
            </w:r>
          </w:p>
        </w:tc>
      </w:tr>
      <w:tr w:rsidR="00F0151C" w:rsidRPr="00F0151C" w14:paraId="1FE48556" w14:textId="42B0BE28" w:rsidTr="006F57D6">
        <w:trPr>
          <w:trHeight w:val="284"/>
          <w:jc w:val="center"/>
        </w:trPr>
        <w:tc>
          <w:tcPr>
            <w:tcW w:w="1129" w:type="dxa"/>
            <w:vAlign w:val="center"/>
          </w:tcPr>
          <w:p w14:paraId="099E334C" w14:textId="3007F9F5"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41158</w:t>
            </w:r>
          </w:p>
        </w:tc>
        <w:tc>
          <w:tcPr>
            <w:tcW w:w="2694" w:type="dxa"/>
            <w:vAlign w:val="center"/>
          </w:tcPr>
          <w:p w14:paraId="2CCFC6BD" w14:textId="1DF636BA"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201-200-00019</w:t>
            </w:r>
          </w:p>
        </w:tc>
        <w:tc>
          <w:tcPr>
            <w:tcW w:w="1426" w:type="dxa"/>
            <w:vAlign w:val="center"/>
          </w:tcPr>
          <w:p w14:paraId="3A0805F8" w14:textId="24ECBF01"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0,00</w:t>
            </w:r>
          </w:p>
        </w:tc>
        <w:tc>
          <w:tcPr>
            <w:tcW w:w="1426" w:type="dxa"/>
            <w:vAlign w:val="center"/>
          </w:tcPr>
          <w:p w14:paraId="60D9D59B" w14:textId="2DB6B18D"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48,41</w:t>
            </w:r>
          </w:p>
        </w:tc>
        <w:tc>
          <w:tcPr>
            <w:tcW w:w="2153" w:type="dxa"/>
            <w:vAlign w:val="center"/>
          </w:tcPr>
          <w:p w14:paraId="117BD54F" w14:textId="0ACFBB0C"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Tauron sprzedaż</w:t>
            </w:r>
          </w:p>
        </w:tc>
      </w:tr>
      <w:tr w:rsidR="00F0151C" w:rsidRPr="00F0151C" w14:paraId="746FF46C" w14:textId="56B2E3D5" w:rsidTr="006F57D6">
        <w:trPr>
          <w:trHeight w:val="284"/>
          <w:jc w:val="center"/>
        </w:trPr>
        <w:tc>
          <w:tcPr>
            <w:tcW w:w="1129" w:type="dxa"/>
            <w:vAlign w:val="center"/>
          </w:tcPr>
          <w:p w14:paraId="6D735403" w14:textId="60F5401A"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41159</w:t>
            </w:r>
          </w:p>
        </w:tc>
        <w:tc>
          <w:tcPr>
            <w:tcW w:w="2694" w:type="dxa"/>
            <w:vAlign w:val="center"/>
          </w:tcPr>
          <w:p w14:paraId="1CDBE88B" w14:textId="1522A728"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300</w:t>
            </w:r>
          </w:p>
        </w:tc>
        <w:tc>
          <w:tcPr>
            <w:tcW w:w="1426" w:type="dxa"/>
            <w:vAlign w:val="center"/>
          </w:tcPr>
          <w:p w14:paraId="3B74EE18" w14:textId="1FFFB2DC"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48,41</w:t>
            </w:r>
          </w:p>
        </w:tc>
        <w:tc>
          <w:tcPr>
            <w:tcW w:w="1426" w:type="dxa"/>
            <w:vAlign w:val="center"/>
          </w:tcPr>
          <w:p w14:paraId="0FDEE125" w14:textId="62AFEB88"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0,00</w:t>
            </w:r>
          </w:p>
        </w:tc>
        <w:tc>
          <w:tcPr>
            <w:tcW w:w="2153" w:type="dxa"/>
            <w:vAlign w:val="center"/>
          </w:tcPr>
          <w:p w14:paraId="27DB3BB2" w14:textId="54D1A3AE"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Tauron sprzedaż</w:t>
            </w:r>
          </w:p>
        </w:tc>
      </w:tr>
      <w:tr w:rsidR="00F0151C" w:rsidRPr="00F0151C" w14:paraId="7EB5396E" w14:textId="208DE2EC" w:rsidTr="006F57D6">
        <w:trPr>
          <w:trHeight w:val="284"/>
          <w:jc w:val="center"/>
        </w:trPr>
        <w:tc>
          <w:tcPr>
            <w:tcW w:w="1129" w:type="dxa"/>
            <w:vAlign w:val="center"/>
          </w:tcPr>
          <w:p w14:paraId="2E8F6AB7" w14:textId="07FEC38B"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41160</w:t>
            </w:r>
          </w:p>
        </w:tc>
        <w:tc>
          <w:tcPr>
            <w:tcW w:w="2694" w:type="dxa"/>
            <w:vAlign w:val="center"/>
          </w:tcPr>
          <w:p w14:paraId="0600C4FB" w14:textId="7C6AF6EA"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300</w:t>
            </w:r>
          </w:p>
        </w:tc>
        <w:tc>
          <w:tcPr>
            <w:tcW w:w="1426" w:type="dxa"/>
            <w:vAlign w:val="center"/>
          </w:tcPr>
          <w:p w14:paraId="66917A78" w14:textId="230DB248"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0,00</w:t>
            </w:r>
          </w:p>
        </w:tc>
        <w:tc>
          <w:tcPr>
            <w:tcW w:w="1426" w:type="dxa"/>
            <w:vAlign w:val="center"/>
          </w:tcPr>
          <w:p w14:paraId="76142AA7" w14:textId="4F13701C"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48,41</w:t>
            </w:r>
          </w:p>
        </w:tc>
        <w:tc>
          <w:tcPr>
            <w:tcW w:w="2153" w:type="dxa"/>
            <w:vAlign w:val="center"/>
          </w:tcPr>
          <w:p w14:paraId="7E47479B" w14:textId="098123C1"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Tauron sprzedaż</w:t>
            </w:r>
          </w:p>
        </w:tc>
      </w:tr>
      <w:tr w:rsidR="00F0151C" w:rsidRPr="00F0151C" w14:paraId="122BF1D7" w14:textId="0F92F747" w:rsidTr="006F57D6">
        <w:trPr>
          <w:trHeight w:val="284"/>
          <w:jc w:val="center"/>
        </w:trPr>
        <w:tc>
          <w:tcPr>
            <w:tcW w:w="1129" w:type="dxa"/>
            <w:vAlign w:val="center"/>
          </w:tcPr>
          <w:p w14:paraId="7859CAB3" w14:textId="03E2058B"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41161</w:t>
            </w:r>
          </w:p>
        </w:tc>
        <w:tc>
          <w:tcPr>
            <w:tcW w:w="2694" w:type="dxa"/>
            <w:vAlign w:val="center"/>
          </w:tcPr>
          <w:p w14:paraId="09693F67" w14:textId="4EFDC41F"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225-203</w:t>
            </w:r>
          </w:p>
        </w:tc>
        <w:tc>
          <w:tcPr>
            <w:tcW w:w="1426" w:type="dxa"/>
            <w:vAlign w:val="center"/>
          </w:tcPr>
          <w:p w14:paraId="25B2116F" w14:textId="4F6E05B0"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1,41</w:t>
            </w:r>
          </w:p>
        </w:tc>
        <w:tc>
          <w:tcPr>
            <w:tcW w:w="1426" w:type="dxa"/>
            <w:vAlign w:val="center"/>
          </w:tcPr>
          <w:p w14:paraId="3B539FF3" w14:textId="66F0605D"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0,00</w:t>
            </w:r>
          </w:p>
        </w:tc>
        <w:tc>
          <w:tcPr>
            <w:tcW w:w="2153" w:type="dxa"/>
            <w:vAlign w:val="center"/>
          </w:tcPr>
          <w:p w14:paraId="14251CE9" w14:textId="3A4558EA"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Tauron sprzedaż</w:t>
            </w:r>
          </w:p>
        </w:tc>
      </w:tr>
      <w:tr w:rsidR="00F0151C" w:rsidRPr="00F0151C" w14:paraId="15744366" w14:textId="6ED2E05F" w:rsidTr="006F57D6">
        <w:trPr>
          <w:trHeight w:val="284"/>
          <w:jc w:val="center"/>
        </w:trPr>
        <w:tc>
          <w:tcPr>
            <w:tcW w:w="1129" w:type="dxa"/>
            <w:vAlign w:val="center"/>
          </w:tcPr>
          <w:p w14:paraId="6086A9EC" w14:textId="71B182F0"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41162</w:t>
            </w:r>
          </w:p>
        </w:tc>
        <w:tc>
          <w:tcPr>
            <w:tcW w:w="2694" w:type="dxa"/>
            <w:vAlign w:val="center"/>
          </w:tcPr>
          <w:p w14:paraId="3AE9804D" w14:textId="27C23562"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507-401-2-968-039-4260-02-000</w:t>
            </w:r>
          </w:p>
        </w:tc>
        <w:tc>
          <w:tcPr>
            <w:tcW w:w="1426" w:type="dxa"/>
            <w:vAlign w:val="center"/>
          </w:tcPr>
          <w:p w14:paraId="2AEBD07B" w14:textId="3B73A590"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47,00</w:t>
            </w:r>
          </w:p>
        </w:tc>
        <w:tc>
          <w:tcPr>
            <w:tcW w:w="1426" w:type="dxa"/>
            <w:vAlign w:val="center"/>
          </w:tcPr>
          <w:p w14:paraId="33A9D59A" w14:textId="5F9C1B12"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0,00</w:t>
            </w:r>
          </w:p>
        </w:tc>
        <w:tc>
          <w:tcPr>
            <w:tcW w:w="2153" w:type="dxa"/>
            <w:vAlign w:val="center"/>
          </w:tcPr>
          <w:p w14:paraId="2AF69287" w14:textId="1170CC85"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Tauron sprzedaż</w:t>
            </w:r>
          </w:p>
        </w:tc>
      </w:tr>
      <w:tr w:rsidR="00F0151C" w:rsidRPr="00F0151C" w14:paraId="016F76EF" w14:textId="505FFBD1" w:rsidTr="006F57D6">
        <w:trPr>
          <w:trHeight w:val="284"/>
          <w:jc w:val="center"/>
        </w:trPr>
        <w:tc>
          <w:tcPr>
            <w:tcW w:w="1129" w:type="dxa"/>
            <w:vAlign w:val="center"/>
          </w:tcPr>
          <w:p w14:paraId="6F0E680C" w14:textId="50FB45F8"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41163</w:t>
            </w:r>
          </w:p>
        </w:tc>
        <w:tc>
          <w:tcPr>
            <w:tcW w:w="2694" w:type="dxa"/>
            <w:vAlign w:val="center"/>
          </w:tcPr>
          <w:p w14:paraId="7AD767A2" w14:textId="29319ADA"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401-2-039-4260-02-000</w:t>
            </w:r>
          </w:p>
        </w:tc>
        <w:tc>
          <w:tcPr>
            <w:tcW w:w="1426" w:type="dxa"/>
            <w:vAlign w:val="center"/>
          </w:tcPr>
          <w:p w14:paraId="34AF98A7" w14:textId="23BC1F40"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47,00</w:t>
            </w:r>
          </w:p>
        </w:tc>
        <w:tc>
          <w:tcPr>
            <w:tcW w:w="1426" w:type="dxa"/>
            <w:vAlign w:val="center"/>
          </w:tcPr>
          <w:p w14:paraId="4F802099" w14:textId="6C76741F"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0,00</w:t>
            </w:r>
          </w:p>
        </w:tc>
        <w:tc>
          <w:tcPr>
            <w:tcW w:w="2153" w:type="dxa"/>
            <w:vAlign w:val="center"/>
          </w:tcPr>
          <w:p w14:paraId="0D4C524D" w14:textId="2F62D70B"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Tauron sprzedaż</w:t>
            </w:r>
          </w:p>
        </w:tc>
      </w:tr>
      <w:tr w:rsidR="006F57D6" w:rsidRPr="00F0151C" w14:paraId="161B9FB6" w14:textId="43FE117D" w:rsidTr="006F57D6">
        <w:trPr>
          <w:trHeight w:val="284"/>
          <w:jc w:val="center"/>
        </w:trPr>
        <w:tc>
          <w:tcPr>
            <w:tcW w:w="1129" w:type="dxa"/>
            <w:vAlign w:val="center"/>
          </w:tcPr>
          <w:p w14:paraId="0BC5EDF6" w14:textId="0F182DE1"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41164</w:t>
            </w:r>
          </w:p>
        </w:tc>
        <w:tc>
          <w:tcPr>
            <w:tcW w:w="2694" w:type="dxa"/>
            <w:vAlign w:val="center"/>
          </w:tcPr>
          <w:p w14:paraId="284A5A5A" w14:textId="16BA7FCF" w:rsidR="006F57D6" w:rsidRPr="00F0151C" w:rsidRDefault="006F57D6" w:rsidP="00BF08FA">
            <w:pPr>
              <w:pStyle w:val="Standard"/>
              <w:widowControl w:val="0"/>
              <w:tabs>
                <w:tab w:val="left" w:pos="-2410"/>
                <w:tab w:val="left" w:pos="490"/>
              </w:tabs>
              <w:overflowPunct/>
              <w:jc w:val="both"/>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490</w:t>
            </w:r>
          </w:p>
        </w:tc>
        <w:tc>
          <w:tcPr>
            <w:tcW w:w="1426" w:type="dxa"/>
            <w:vAlign w:val="center"/>
          </w:tcPr>
          <w:p w14:paraId="4778EE4F" w14:textId="19B9921C"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0,00</w:t>
            </w:r>
          </w:p>
        </w:tc>
        <w:tc>
          <w:tcPr>
            <w:tcW w:w="1426" w:type="dxa"/>
            <w:vAlign w:val="center"/>
          </w:tcPr>
          <w:p w14:paraId="055B2EB6" w14:textId="0F486F0E"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47,00</w:t>
            </w:r>
          </w:p>
        </w:tc>
        <w:tc>
          <w:tcPr>
            <w:tcW w:w="2153" w:type="dxa"/>
            <w:vAlign w:val="center"/>
          </w:tcPr>
          <w:p w14:paraId="04F1C720" w14:textId="7DE09AD5" w:rsidR="006F57D6" w:rsidRPr="00F0151C" w:rsidRDefault="006F57D6" w:rsidP="00BF08FA">
            <w:pPr>
              <w:pStyle w:val="Standard"/>
              <w:widowControl w:val="0"/>
              <w:tabs>
                <w:tab w:val="left" w:pos="-2410"/>
                <w:tab w:val="left" w:pos="490"/>
              </w:tabs>
              <w:overflowPunct/>
              <w:jc w:val="right"/>
              <w:rPr>
                <w:rFonts w:ascii="Arial" w:eastAsia="Times New Roman" w:hAnsi="Arial" w:cs="Arial"/>
                <w:color w:val="auto"/>
                <w:spacing w:val="-2"/>
                <w:sz w:val="16"/>
                <w:szCs w:val="16"/>
              </w:rPr>
            </w:pPr>
            <w:r w:rsidRPr="00F0151C">
              <w:rPr>
                <w:rFonts w:ascii="Arial" w:eastAsia="Times New Roman" w:hAnsi="Arial" w:cs="Arial"/>
                <w:color w:val="auto"/>
                <w:spacing w:val="-2"/>
                <w:sz w:val="16"/>
                <w:szCs w:val="16"/>
              </w:rPr>
              <w:t>Tauron sprzedaż</w:t>
            </w:r>
          </w:p>
        </w:tc>
      </w:tr>
    </w:tbl>
    <w:p w14:paraId="6E7D3F6F" w14:textId="77777777" w:rsidR="00BF08FA" w:rsidRPr="00F0151C" w:rsidRDefault="00BF08FA" w:rsidP="00BF08FA">
      <w:pPr>
        <w:pStyle w:val="Standard"/>
        <w:widowControl w:val="0"/>
        <w:tabs>
          <w:tab w:val="left" w:pos="-2410"/>
          <w:tab w:val="left" w:pos="490"/>
        </w:tabs>
        <w:overflowPunct/>
        <w:spacing w:after="0" w:line="360" w:lineRule="auto"/>
        <w:jc w:val="both"/>
        <w:rPr>
          <w:rFonts w:ascii="Arial" w:eastAsia="Times New Roman" w:hAnsi="Arial" w:cs="Arial"/>
          <w:color w:val="auto"/>
          <w:spacing w:val="-2"/>
          <w:sz w:val="10"/>
          <w:szCs w:val="10"/>
        </w:rPr>
      </w:pPr>
    </w:p>
    <w:p w14:paraId="0C3C3EF7" w14:textId="1E1B7ACA" w:rsidR="003A2926" w:rsidRPr="00F0151C" w:rsidRDefault="00306CB9" w:rsidP="00BF08FA">
      <w:pPr>
        <w:pStyle w:val="Standard"/>
        <w:widowControl w:val="0"/>
        <w:tabs>
          <w:tab w:val="left" w:pos="-2410"/>
          <w:tab w:val="left" w:pos="490"/>
        </w:tabs>
        <w:overflowPunct/>
        <w:spacing w:after="0" w:line="360" w:lineRule="auto"/>
        <w:jc w:val="both"/>
        <w:rPr>
          <w:rFonts w:ascii="Arial" w:eastAsia="Times New Roman" w:hAnsi="Arial" w:cs="Arial"/>
          <w:color w:val="auto"/>
          <w:spacing w:val="-2"/>
        </w:rPr>
      </w:pPr>
      <w:r w:rsidRPr="00F0151C">
        <w:rPr>
          <w:rFonts w:ascii="Arial" w:eastAsia="Times New Roman" w:hAnsi="Arial" w:cs="Arial"/>
          <w:color w:val="auto"/>
          <w:spacing w:val="-4"/>
        </w:rPr>
        <w:t xml:space="preserve">Z powyższych zapisów wynika, że kontem korespondującym </w:t>
      </w:r>
      <w:r w:rsidR="008F3232" w:rsidRPr="00F0151C">
        <w:rPr>
          <w:rFonts w:ascii="Arial" w:eastAsia="Times New Roman" w:hAnsi="Arial" w:cs="Arial"/>
          <w:color w:val="auto"/>
          <w:spacing w:val="-4"/>
        </w:rPr>
        <w:t>do konta 401 jest konto 490, co jest niezgodne z rozporządzeniem Ministra Rozwoju i Finansów z dnia 13 września 2017 r. w</w:t>
      </w:r>
      <w:r w:rsidR="001B0BCA" w:rsidRPr="00F0151C">
        <w:rPr>
          <w:rFonts w:ascii="Arial" w:eastAsia="Times New Roman" w:hAnsi="Arial" w:cs="Arial"/>
          <w:color w:val="auto"/>
          <w:spacing w:val="-4"/>
        </w:rPr>
        <w:t> </w:t>
      </w:r>
      <w:r w:rsidR="008F3232" w:rsidRPr="00F0151C">
        <w:rPr>
          <w:rFonts w:ascii="Arial" w:eastAsia="Times New Roman" w:hAnsi="Arial" w:cs="Arial"/>
          <w:color w:val="auto"/>
          <w:spacing w:val="-4"/>
        </w:rPr>
        <w:t>sprawie rachunkowości oraz planów kont dla budżetu państwa, budżetów jednostek samorządu terytorialnego, jednostek budżetowych, samorządowych zakładów budżetowych (…) z którego wynika, że w jednostkach prowadzących konta zespołu 5 na stronie Ma konta 490 ujmuje się poniesione koszty rodzajowe, zewidencjonowane na kontach: 400, 401, 402, 403, 404, 405, 409</w:t>
      </w:r>
      <w:r w:rsidR="008F3232" w:rsidRPr="00F0151C">
        <w:rPr>
          <w:rFonts w:ascii="Arial" w:eastAsia="Times New Roman" w:hAnsi="Arial" w:cs="Arial"/>
          <w:color w:val="auto"/>
          <w:spacing w:val="-2"/>
        </w:rPr>
        <w:t xml:space="preserve"> i niepodlegające rozliczeniu w czasie, w korespondencji z właściwym kontem zespołu 5.</w:t>
      </w:r>
      <w:r w:rsidR="00835E41" w:rsidRPr="00F0151C">
        <w:rPr>
          <w:rFonts w:ascii="Arial" w:eastAsia="Times New Roman" w:hAnsi="Arial" w:cs="Arial"/>
          <w:color w:val="auto"/>
          <w:spacing w:val="-2"/>
        </w:rPr>
        <w:t xml:space="preserve"> </w:t>
      </w:r>
      <w:bookmarkStart w:id="4" w:name="_Hlk147236339"/>
      <w:r w:rsidR="00402ED4" w:rsidRPr="00F0151C">
        <w:rPr>
          <w:rFonts w:ascii="Arial" w:eastAsia="Times New Roman" w:hAnsi="Arial" w:cs="Arial"/>
          <w:color w:val="auto"/>
          <w:spacing w:val="-2"/>
        </w:rPr>
        <w:t>Ponadto przedłożone do kontroli kartoteki kont nie zawierały wskazania kont przeciwstawnych na których ujęte zostały poszczególne operacje gospodarcze na danym koncie.</w:t>
      </w:r>
    </w:p>
    <w:p w14:paraId="68C54E25" w14:textId="4AA18EB9" w:rsidR="009E4044" w:rsidRPr="00F0151C" w:rsidRDefault="009E4044" w:rsidP="00E463B6">
      <w:pPr>
        <w:pStyle w:val="Standard"/>
        <w:widowControl w:val="0"/>
        <w:numPr>
          <w:ilvl w:val="0"/>
          <w:numId w:val="27"/>
        </w:numPr>
        <w:tabs>
          <w:tab w:val="left" w:pos="-2410"/>
          <w:tab w:val="left" w:pos="490"/>
        </w:tabs>
        <w:overflowPunct/>
        <w:spacing w:after="0" w:line="360" w:lineRule="auto"/>
        <w:ind w:left="0" w:firstLine="0"/>
        <w:jc w:val="both"/>
        <w:rPr>
          <w:rFonts w:ascii="Arial" w:eastAsia="Times New Roman" w:hAnsi="Arial" w:cs="Arial"/>
          <w:color w:val="auto"/>
          <w:spacing w:val="-2"/>
        </w:rPr>
      </w:pPr>
      <w:bookmarkStart w:id="5" w:name="_Hlk147236367"/>
      <w:bookmarkEnd w:id="4"/>
      <w:r w:rsidRPr="00F0151C">
        <w:rPr>
          <w:rFonts w:ascii="Arial" w:eastAsia="Times New Roman" w:hAnsi="Arial" w:cs="Arial"/>
          <w:color w:val="auto"/>
          <w:spacing w:val="-2"/>
        </w:rPr>
        <w:t>Nieprawidłowe ewidencjonowanie w księgach rachunkowych odsetek od nieterminowych płatności</w:t>
      </w:r>
      <w:r w:rsidR="00F9067D" w:rsidRPr="00F0151C">
        <w:rPr>
          <w:rFonts w:ascii="Arial" w:eastAsia="Times New Roman" w:hAnsi="Arial" w:cs="Arial"/>
          <w:color w:val="auto"/>
          <w:spacing w:val="-2"/>
        </w:rPr>
        <w:t xml:space="preserve"> z tytułu najmu lokalu</w:t>
      </w:r>
      <w:r w:rsidR="0021507B" w:rsidRPr="00F0151C">
        <w:rPr>
          <w:rFonts w:ascii="Arial" w:eastAsia="Times New Roman" w:hAnsi="Arial" w:cs="Arial"/>
          <w:color w:val="auto"/>
          <w:spacing w:val="-2"/>
        </w:rPr>
        <w:t xml:space="preserve">. </w:t>
      </w:r>
      <w:bookmarkEnd w:id="5"/>
      <w:r w:rsidR="00E463B6" w:rsidRPr="00F0151C">
        <w:rPr>
          <w:rFonts w:ascii="Arial" w:eastAsia="Times New Roman" w:hAnsi="Arial" w:cs="Arial"/>
          <w:color w:val="auto"/>
          <w:spacing w:val="-2"/>
        </w:rPr>
        <w:t xml:space="preserve">Zgodnie </w:t>
      </w:r>
      <w:r w:rsidR="0021507B" w:rsidRPr="00F0151C">
        <w:rPr>
          <w:rFonts w:ascii="Arial" w:eastAsia="Times New Roman" w:hAnsi="Arial" w:cs="Arial"/>
          <w:color w:val="auto"/>
          <w:spacing w:val="-2"/>
        </w:rPr>
        <w:t xml:space="preserve">z zapisami </w:t>
      </w:r>
      <w:r w:rsidR="00E463B6" w:rsidRPr="00F0151C">
        <w:rPr>
          <w:rFonts w:ascii="Arial" w:eastAsia="Times New Roman" w:hAnsi="Arial" w:cs="Arial"/>
          <w:color w:val="auto"/>
          <w:spacing w:val="-2"/>
        </w:rPr>
        <w:t>polityki rachunkowości</w:t>
      </w:r>
      <w:r w:rsidR="0021507B" w:rsidRPr="00F0151C">
        <w:rPr>
          <w:rFonts w:ascii="Arial" w:eastAsia="Times New Roman" w:hAnsi="Arial" w:cs="Arial"/>
          <w:color w:val="auto"/>
          <w:spacing w:val="-2"/>
        </w:rPr>
        <w:t xml:space="preserve"> </w:t>
      </w:r>
      <w:r w:rsidR="0021507B" w:rsidRPr="00F0151C">
        <w:rPr>
          <w:rFonts w:ascii="Arial" w:hAnsi="Arial" w:cs="Arial"/>
          <w:color w:val="auto"/>
        </w:rPr>
        <w:t>odsetki od należności i zobowiązań ujmuje się w księgach rachunkowych: od zapłaconych w momencie ich zapłaty</w:t>
      </w:r>
      <w:r w:rsidR="0071022C" w:rsidRPr="00F0151C">
        <w:rPr>
          <w:rFonts w:ascii="Arial" w:hAnsi="Arial" w:cs="Arial"/>
          <w:color w:val="auto"/>
        </w:rPr>
        <w:t xml:space="preserve"> oraz </w:t>
      </w:r>
      <w:r w:rsidR="0021507B" w:rsidRPr="00F0151C">
        <w:rPr>
          <w:rFonts w:ascii="Arial" w:hAnsi="Arial" w:cs="Arial"/>
          <w:color w:val="auto"/>
        </w:rPr>
        <w:t>od niezapłaconych w wysokości należnej na koniec każdego kwartału. Powyższe zapisy, zgodnie z art. 40 ust. 2 pkt 3 ustawy o Finansach publicznych są w</w:t>
      </w:r>
      <w:r w:rsidR="0071022C" w:rsidRPr="00F0151C">
        <w:rPr>
          <w:rFonts w:ascii="Arial" w:hAnsi="Arial" w:cs="Arial"/>
          <w:color w:val="auto"/>
        </w:rPr>
        <w:t> </w:t>
      </w:r>
      <w:r w:rsidR="0021507B" w:rsidRPr="00F0151C">
        <w:rPr>
          <w:rFonts w:ascii="Arial" w:hAnsi="Arial" w:cs="Arial"/>
          <w:color w:val="auto"/>
        </w:rPr>
        <w:t xml:space="preserve">zakładzie przestrzegane. Odsetki naliczone w momencie wpłaty należności ujmowane są na kontach Wn 201 </w:t>
      </w:r>
      <w:r w:rsidR="0021507B" w:rsidRPr="00F0151C">
        <w:rPr>
          <w:rFonts w:ascii="Arial" w:hAnsi="Arial" w:cs="Arial"/>
          <w:i/>
          <w:iCs/>
          <w:color w:val="auto"/>
        </w:rPr>
        <w:t>Rozrachunki z dostawcami i odbiorcami</w:t>
      </w:r>
      <w:r w:rsidR="00BC70A5" w:rsidRPr="00F0151C">
        <w:rPr>
          <w:rFonts w:ascii="Arial" w:hAnsi="Arial" w:cs="Arial"/>
          <w:i/>
          <w:iCs/>
          <w:color w:val="auto"/>
        </w:rPr>
        <w:t xml:space="preserve"> </w:t>
      </w:r>
      <w:r w:rsidR="0021507B" w:rsidRPr="00F0151C">
        <w:rPr>
          <w:rFonts w:ascii="Arial" w:hAnsi="Arial" w:cs="Arial"/>
          <w:color w:val="auto"/>
        </w:rPr>
        <w:t xml:space="preserve">/ Ma 750 </w:t>
      </w:r>
      <w:r w:rsidR="0021507B" w:rsidRPr="00F0151C">
        <w:rPr>
          <w:rFonts w:ascii="Arial" w:hAnsi="Arial" w:cs="Arial"/>
          <w:i/>
          <w:iCs/>
          <w:color w:val="auto"/>
        </w:rPr>
        <w:t>Przychody finansowe</w:t>
      </w:r>
      <w:r w:rsidR="0021507B" w:rsidRPr="00F0151C">
        <w:rPr>
          <w:rFonts w:ascii="Arial" w:hAnsi="Arial" w:cs="Arial"/>
          <w:color w:val="auto"/>
        </w:rPr>
        <w:t>. Natomiast naliczone odsetki na koniec kwartału ujmowane są</w:t>
      </w:r>
      <w:r w:rsidR="0021507B" w:rsidRPr="00F0151C">
        <w:rPr>
          <w:rFonts w:ascii="Arial" w:eastAsia="Times New Roman" w:hAnsi="Arial" w:cs="Arial"/>
          <w:color w:val="auto"/>
          <w:spacing w:val="-2"/>
        </w:rPr>
        <w:t xml:space="preserve"> zapisem strona Wn konta 240 </w:t>
      </w:r>
      <w:r w:rsidR="0021507B" w:rsidRPr="00F0151C">
        <w:rPr>
          <w:rFonts w:ascii="Arial" w:eastAsia="Times New Roman" w:hAnsi="Arial" w:cs="Arial"/>
          <w:i/>
          <w:iCs/>
          <w:color w:val="auto"/>
          <w:spacing w:val="-2"/>
        </w:rPr>
        <w:t>Pozostałe rozrachunki</w:t>
      </w:r>
      <w:r w:rsidR="0021507B" w:rsidRPr="00F0151C">
        <w:rPr>
          <w:rFonts w:ascii="Arial" w:eastAsia="Times New Roman" w:hAnsi="Arial" w:cs="Arial"/>
          <w:color w:val="auto"/>
          <w:spacing w:val="-2"/>
        </w:rPr>
        <w:t xml:space="preserve"> oraz strona Ma konta 290 </w:t>
      </w:r>
      <w:r w:rsidR="0021507B" w:rsidRPr="00F0151C">
        <w:rPr>
          <w:rFonts w:ascii="Arial" w:eastAsia="Times New Roman" w:hAnsi="Arial" w:cs="Arial"/>
          <w:i/>
          <w:iCs/>
          <w:color w:val="auto"/>
          <w:spacing w:val="-2"/>
        </w:rPr>
        <w:t>Odpisy aktualizujące należności”</w:t>
      </w:r>
      <w:r w:rsidR="00BC70A5" w:rsidRPr="00F0151C">
        <w:rPr>
          <w:rFonts w:ascii="Arial" w:eastAsia="Times New Roman" w:hAnsi="Arial" w:cs="Arial"/>
          <w:i/>
          <w:iCs/>
          <w:color w:val="auto"/>
          <w:spacing w:val="-2"/>
        </w:rPr>
        <w:t xml:space="preserve">. </w:t>
      </w:r>
      <w:r w:rsidR="00BC70A5" w:rsidRPr="00F0151C">
        <w:rPr>
          <w:rFonts w:ascii="Arial" w:eastAsia="Times New Roman" w:hAnsi="Arial" w:cs="Arial"/>
          <w:color w:val="auto"/>
          <w:spacing w:val="-2"/>
        </w:rPr>
        <w:t>Ja</w:t>
      </w:r>
      <w:r w:rsidR="00BC70A5" w:rsidRPr="00F0151C">
        <w:rPr>
          <w:rFonts w:ascii="Arial" w:hAnsi="Arial" w:cs="Arial"/>
          <w:color w:val="auto"/>
        </w:rPr>
        <w:t>k wynika z zapisów w dzienniku, na koniec każdego miesiąca ujmuje się w księgach rachunkowych operację gospodarczą z opisem: „zwiększenie – odsetki, czynsze, nakazy, raty, odpracowania</w:t>
      </w:r>
      <w:r w:rsidR="008C38E9" w:rsidRPr="00F0151C">
        <w:rPr>
          <w:rFonts w:ascii="Arial" w:hAnsi="Arial" w:cs="Arial"/>
          <w:color w:val="auto"/>
        </w:rPr>
        <w:t>”</w:t>
      </w:r>
      <w:r w:rsidR="00BC70A5" w:rsidRPr="00F0151C">
        <w:rPr>
          <w:rFonts w:ascii="Arial" w:hAnsi="Arial" w:cs="Arial"/>
          <w:color w:val="auto"/>
        </w:rPr>
        <w:t xml:space="preserve"> zapisem Wn 240</w:t>
      </w:r>
      <w:r w:rsidR="008C38E9" w:rsidRPr="00F0151C">
        <w:rPr>
          <w:rFonts w:ascii="Arial" w:hAnsi="Arial" w:cs="Arial"/>
          <w:color w:val="auto"/>
        </w:rPr>
        <w:t xml:space="preserve">-015 </w:t>
      </w:r>
      <w:r w:rsidR="008C38E9" w:rsidRPr="00F0151C">
        <w:rPr>
          <w:rFonts w:ascii="Arial" w:hAnsi="Arial" w:cs="Arial"/>
          <w:i/>
          <w:iCs/>
          <w:color w:val="auto"/>
        </w:rPr>
        <w:t>Pozostałe rozrachunki - odsetki od niezapłaconych w</w:t>
      </w:r>
      <w:r w:rsidR="006F57D6" w:rsidRPr="00F0151C">
        <w:rPr>
          <w:rFonts w:ascii="Arial" w:hAnsi="Arial" w:cs="Arial"/>
          <w:i/>
          <w:iCs/>
          <w:color w:val="auto"/>
        </w:rPr>
        <w:t> </w:t>
      </w:r>
      <w:r w:rsidR="008C38E9" w:rsidRPr="00F0151C">
        <w:rPr>
          <w:rFonts w:ascii="Arial" w:hAnsi="Arial" w:cs="Arial"/>
          <w:i/>
          <w:iCs/>
          <w:color w:val="auto"/>
        </w:rPr>
        <w:t xml:space="preserve">term. </w:t>
      </w:r>
      <w:proofErr w:type="spellStart"/>
      <w:r w:rsidR="008C38E9" w:rsidRPr="00F0151C">
        <w:rPr>
          <w:rFonts w:ascii="Arial" w:hAnsi="Arial" w:cs="Arial"/>
          <w:i/>
          <w:iCs/>
          <w:color w:val="auto"/>
        </w:rPr>
        <w:t>nal</w:t>
      </w:r>
      <w:proofErr w:type="spellEnd"/>
      <w:r w:rsidR="008C38E9" w:rsidRPr="00F0151C">
        <w:rPr>
          <w:rFonts w:ascii="Arial" w:hAnsi="Arial" w:cs="Arial"/>
          <w:i/>
          <w:iCs/>
          <w:color w:val="auto"/>
        </w:rPr>
        <w:t>. czynsz.</w:t>
      </w:r>
      <w:r w:rsidR="008C38E9" w:rsidRPr="00F0151C">
        <w:rPr>
          <w:rFonts w:ascii="Arial" w:hAnsi="Arial" w:cs="Arial"/>
          <w:color w:val="auto"/>
        </w:rPr>
        <w:t xml:space="preserve"> </w:t>
      </w:r>
      <w:r w:rsidR="00BC70A5" w:rsidRPr="00F0151C">
        <w:rPr>
          <w:rFonts w:ascii="Arial" w:hAnsi="Arial" w:cs="Arial"/>
          <w:color w:val="auto"/>
        </w:rPr>
        <w:t>/ Ma 290</w:t>
      </w:r>
      <w:r w:rsidR="008C38E9" w:rsidRPr="00F0151C">
        <w:rPr>
          <w:rFonts w:ascii="Arial" w:hAnsi="Arial" w:cs="Arial"/>
          <w:color w:val="auto"/>
        </w:rPr>
        <w:t>-000</w:t>
      </w:r>
      <w:r w:rsidR="0071022C" w:rsidRPr="00F0151C">
        <w:rPr>
          <w:rFonts w:ascii="Arial" w:hAnsi="Arial" w:cs="Arial"/>
          <w:color w:val="auto"/>
        </w:rPr>
        <w:t xml:space="preserve"> </w:t>
      </w:r>
      <w:r w:rsidR="0071022C" w:rsidRPr="00F0151C">
        <w:rPr>
          <w:rFonts w:ascii="Arial" w:hAnsi="Arial" w:cs="Arial"/>
          <w:i/>
          <w:iCs/>
          <w:color w:val="auto"/>
        </w:rPr>
        <w:t>„brak opisu do konta”</w:t>
      </w:r>
      <w:r w:rsidR="00BC70A5" w:rsidRPr="00F0151C">
        <w:rPr>
          <w:rFonts w:ascii="Arial" w:hAnsi="Arial" w:cs="Arial"/>
          <w:i/>
          <w:iCs/>
          <w:color w:val="auto"/>
        </w:rPr>
        <w:t>.</w:t>
      </w:r>
      <w:r w:rsidR="00BC70A5" w:rsidRPr="00F0151C">
        <w:rPr>
          <w:rFonts w:ascii="Arial" w:hAnsi="Arial" w:cs="Arial"/>
          <w:color w:val="auto"/>
        </w:rPr>
        <w:t xml:space="preserve"> </w:t>
      </w:r>
      <w:r w:rsidR="0071022C" w:rsidRPr="00F0151C">
        <w:rPr>
          <w:rFonts w:ascii="Arial" w:eastAsia="Times New Roman" w:hAnsi="Arial" w:cs="Arial"/>
          <w:color w:val="auto"/>
          <w:spacing w:val="-2"/>
        </w:rPr>
        <w:t xml:space="preserve">Powyższa ewidencja następuje </w:t>
      </w:r>
      <w:r w:rsidR="0021507B" w:rsidRPr="00F0151C">
        <w:rPr>
          <w:rFonts w:ascii="Arial" w:eastAsia="Times New Roman" w:hAnsi="Arial" w:cs="Arial"/>
          <w:color w:val="auto"/>
          <w:spacing w:val="-2"/>
        </w:rPr>
        <w:lastRenderedPageBreak/>
        <w:t>z</w:t>
      </w:r>
      <w:r w:rsidR="0071022C" w:rsidRPr="00F0151C">
        <w:rPr>
          <w:rFonts w:ascii="Arial" w:eastAsia="Times New Roman" w:hAnsi="Arial" w:cs="Arial"/>
          <w:color w:val="auto"/>
          <w:spacing w:val="-2"/>
        </w:rPr>
        <w:t> </w:t>
      </w:r>
      <w:r w:rsidR="0021507B" w:rsidRPr="00F0151C">
        <w:rPr>
          <w:rFonts w:ascii="Arial" w:eastAsia="Times New Roman" w:hAnsi="Arial" w:cs="Arial"/>
          <w:color w:val="auto"/>
          <w:spacing w:val="-2"/>
        </w:rPr>
        <w:t xml:space="preserve">pominięciem kont zespołu „7 - </w:t>
      </w:r>
      <w:r w:rsidR="0021507B" w:rsidRPr="00F0151C">
        <w:rPr>
          <w:rFonts w:ascii="Arial" w:eastAsia="Times New Roman" w:hAnsi="Arial" w:cs="Arial"/>
          <w:i/>
          <w:iCs/>
          <w:color w:val="auto"/>
          <w:spacing w:val="-2"/>
        </w:rPr>
        <w:t>Przychody, dochody i koszty</w:t>
      </w:r>
      <w:r w:rsidR="0021507B" w:rsidRPr="00F0151C">
        <w:rPr>
          <w:rFonts w:ascii="Arial" w:eastAsia="Times New Roman" w:hAnsi="Arial" w:cs="Arial"/>
          <w:color w:val="auto"/>
          <w:spacing w:val="-2"/>
        </w:rPr>
        <w:t>".</w:t>
      </w:r>
      <w:r w:rsidR="0071022C" w:rsidRPr="00F0151C">
        <w:rPr>
          <w:rFonts w:ascii="Arial" w:eastAsia="Times New Roman" w:hAnsi="Arial" w:cs="Arial"/>
          <w:color w:val="auto"/>
          <w:spacing w:val="-2"/>
        </w:rPr>
        <w:t xml:space="preserve">  Zauważyć należy, że o</w:t>
      </w:r>
      <w:r w:rsidR="00F413AE" w:rsidRPr="00F0151C">
        <w:rPr>
          <w:rFonts w:ascii="Arial" w:eastAsia="Times New Roman" w:hAnsi="Arial" w:cs="Arial"/>
          <w:color w:val="auto"/>
          <w:spacing w:val="-2"/>
        </w:rPr>
        <w:t>dsetki z</w:t>
      </w:r>
      <w:r w:rsidR="0071022C" w:rsidRPr="00F0151C">
        <w:rPr>
          <w:rFonts w:ascii="Arial" w:eastAsia="Times New Roman" w:hAnsi="Arial" w:cs="Arial"/>
          <w:color w:val="auto"/>
          <w:spacing w:val="-2"/>
        </w:rPr>
        <w:t> </w:t>
      </w:r>
      <w:r w:rsidR="00F9067D" w:rsidRPr="00F0151C">
        <w:rPr>
          <w:rFonts w:ascii="Arial" w:eastAsia="Times New Roman" w:hAnsi="Arial" w:cs="Arial"/>
          <w:color w:val="auto"/>
          <w:spacing w:val="-2"/>
        </w:rPr>
        <w:t xml:space="preserve">powyższego tytułu należy ujmować na koncie 201 </w:t>
      </w:r>
      <w:r w:rsidR="00F9067D" w:rsidRPr="00F0151C">
        <w:rPr>
          <w:rFonts w:ascii="Arial" w:eastAsia="Times New Roman" w:hAnsi="Arial" w:cs="Arial"/>
          <w:i/>
          <w:iCs/>
          <w:color w:val="auto"/>
          <w:spacing w:val="-2"/>
        </w:rPr>
        <w:t>Rozrachunki z odbiorcami i dostawcami</w:t>
      </w:r>
      <w:r w:rsidR="00F9067D" w:rsidRPr="00F0151C">
        <w:rPr>
          <w:rFonts w:ascii="Arial" w:eastAsia="Times New Roman" w:hAnsi="Arial" w:cs="Arial"/>
          <w:color w:val="auto"/>
          <w:spacing w:val="-2"/>
        </w:rPr>
        <w:t xml:space="preserve"> </w:t>
      </w:r>
      <w:r w:rsidR="00F413AE" w:rsidRPr="00F0151C">
        <w:rPr>
          <w:rFonts w:ascii="Arial" w:eastAsia="Times New Roman" w:hAnsi="Arial" w:cs="Arial"/>
          <w:color w:val="auto"/>
          <w:spacing w:val="-2"/>
        </w:rPr>
        <w:t xml:space="preserve"> </w:t>
      </w:r>
      <w:r w:rsidR="0071022C" w:rsidRPr="00F0151C">
        <w:rPr>
          <w:rFonts w:ascii="Arial" w:eastAsia="Times New Roman" w:hAnsi="Arial" w:cs="Arial"/>
          <w:color w:val="auto"/>
          <w:spacing w:val="-2"/>
        </w:rPr>
        <w:t xml:space="preserve">w korespondencji z kontem 750 </w:t>
      </w:r>
      <w:r w:rsidR="0071022C" w:rsidRPr="00F0151C">
        <w:rPr>
          <w:rFonts w:ascii="Arial" w:eastAsia="Times New Roman" w:hAnsi="Arial" w:cs="Arial"/>
          <w:i/>
          <w:iCs/>
          <w:color w:val="auto"/>
          <w:spacing w:val="-2"/>
        </w:rPr>
        <w:t>Przychody finansowe</w:t>
      </w:r>
      <w:r w:rsidR="0071022C" w:rsidRPr="00F0151C">
        <w:rPr>
          <w:rFonts w:ascii="Arial" w:eastAsia="Times New Roman" w:hAnsi="Arial" w:cs="Arial"/>
          <w:color w:val="auto"/>
          <w:spacing w:val="-2"/>
        </w:rPr>
        <w:t>. Natomiast jak wskazano w polityce rachunkowości o</w:t>
      </w:r>
      <w:r w:rsidR="00F9067D" w:rsidRPr="00F0151C">
        <w:rPr>
          <w:rFonts w:ascii="Arial" w:eastAsia="Times New Roman" w:hAnsi="Arial" w:cs="Arial"/>
          <w:color w:val="auto"/>
          <w:spacing w:val="-2"/>
        </w:rPr>
        <w:t xml:space="preserve">dpisy aktualizujące wartość należności  zalicza się: do pozostałych kosztów operacyjnych </w:t>
      </w:r>
      <w:r w:rsidR="0071022C" w:rsidRPr="00F0151C">
        <w:rPr>
          <w:rFonts w:ascii="Arial" w:eastAsia="Times New Roman" w:hAnsi="Arial" w:cs="Arial"/>
          <w:color w:val="auto"/>
          <w:spacing w:val="-2"/>
        </w:rPr>
        <w:t xml:space="preserve">(konto 761) </w:t>
      </w:r>
      <w:r w:rsidR="00F9067D" w:rsidRPr="00F0151C">
        <w:rPr>
          <w:rFonts w:ascii="Arial" w:eastAsia="Times New Roman" w:hAnsi="Arial" w:cs="Arial"/>
          <w:color w:val="auto"/>
          <w:spacing w:val="-2"/>
        </w:rPr>
        <w:t>lub do kosztów finansowych</w:t>
      </w:r>
      <w:r w:rsidR="0071022C" w:rsidRPr="00F0151C">
        <w:rPr>
          <w:rFonts w:ascii="Arial" w:eastAsia="Times New Roman" w:hAnsi="Arial" w:cs="Arial"/>
          <w:color w:val="auto"/>
          <w:spacing w:val="-2"/>
        </w:rPr>
        <w:t xml:space="preserve"> (751)</w:t>
      </w:r>
      <w:r w:rsidR="00F9067D" w:rsidRPr="00F0151C">
        <w:rPr>
          <w:rFonts w:ascii="Arial" w:eastAsia="Times New Roman" w:hAnsi="Arial" w:cs="Arial"/>
          <w:color w:val="auto"/>
          <w:spacing w:val="-2"/>
        </w:rPr>
        <w:t xml:space="preserve"> – zależnie od rodzaju należności, której dotyczy odpis aktualizacji.</w:t>
      </w:r>
    </w:p>
    <w:p w14:paraId="17028A50" w14:textId="161C101E" w:rsidR="0071111C" w:rsidRPr="00F0151C" w:rsidRDefault="0071111C" w:rsidP="00384BC5">
      <w:pPr>
        <w:pStyle w:val="Standard"/>
        <w:widowControl w:val="0"/>
        <w:numPr>
          <w:ilvl w:val="0"/>
          <w:numId w:val="27"/>
        </w:numPr>
        <w:tabs>
          <w:tab w:val="left" w:pos="-2410"/>
          <w:tab w:val="left" w:pos="490"/>
        </w:tabs>
        <w:overflowPunct/>
        <w:spacing w:after="0" w:line="360" w:lineRule="auto"/>
        <w:ind w:left="0" w:firstLine="0"/>
        <w:jc w:val="both"/>
        <w:rPr>
          <w:rFonts w:ascii="Arial" w:eastAsia="Times New Roman" w:hAnsi="Arial" w:cs="Arial"/>
          <w:color w:val="auto"/>
          <w:spacing w:val="-2"/>
        </w:rPr>
      </w:pPr>
      <w:bookmarkStart w:id="6" w:name="_Hlk147236588"/>
      <w:r w:rsidRPr="00F0151C">
        <w:rPr>
          <w:rFonts w:ascii="Arial" w:eastAsia="Times New Roman" w:hAnsi="Arial" w:cs="Arial"/>
          <w:color w:val="auto"/>
          <w:spacing w:val="-2"/>
        </w:rPr>
        <w:t xml:space="preserve">Ujmowanie na koncie 400 </w:t>
      </w:r>
      <w:r w:rsidRPr="00F0151C">
        <w:rPr>
          <w:rFonts w:ascii="Arial" w:eastAsia="Times New Roman" w:hAnsi="Arial" w:cs="Arial"/>
          <w:i/>
          <w:iCs/>
          <w:color w:val="auto"/>
          <w:spacing w:val="-2"/>
        </w:rPr>
        <w:t>Amortyzacja</w:t>
      </w:r>
      <w:r w:rsidRPr="00F0151C">
        <w:rPr>
          <w:rFonts w:ascii="Arial" w:eastAsia="Times New Roman" w:hAnsi="Arial" w:cs="Arial"/>
          <w:color w:val="auto"/>
          <w:spacing w:val="-2"/>
        </w:rPr>
        <w:t xml:space="preserve"> </w:t>
      </w:r>
      <w:r w:rsidR="003D7B9E" w:rsidRPr="00F0151C">
        <w:rPr>
          <w:rFonts w:ascii="Arial" w:eastAsia="Times New Roman" w:hAnsi="Arial" w:cs="Arial"/>
          <w:color w:val="auto"/>
          <w:spacing w:val="-2"/>
        </w:rPr>
        <w:t xml:space="preserve"> jednorazowej amortyzacji </w:t>
      </w:r>
      <w:r w:rsidRPr="00F0151C">
        <w:rPr>
          <w:rFonts w:ascii="Arial" w:eastAsia="Times New Roman" w:hAnsi="Arial" w:cs="Arial"/>
          <w:color w:val="auto"/>
          <w:spacing w:val="-2"/>
        </w:rPr>
        <w:t xml:space="preserve">pozostałych środków trwałych zamiast </w:t>
      </w:r>
      <w:r w:rsidR="003D7B9E" w:rsidRPr="00F0151C">
        <w:rPr>
          <w:rFonts w:ascii="Arial" w:eastAsia="Times New Roman" w:hAnsi="Arial" w:cs="Arial"/>
          <w:color w:val="auto"/>
          <w:spacing w:val="-2"/>
        </w:rPr>
        <w:t>prawidłowo na koncie 401</w:t>
      </w:r>
      <w:r w:rsidRPr="00F0151C">
        <w:rPr>
          <w:rFonts w:ascii="Arial" w:eastAsia="Times New Roman" w:hAnsi="Arial" w:cs="Arial"/>
          <w:color w:val="auto"/>
          <w:spacing w:val="-2"/>
        </w:rPr>
        <w:t xml:space="preserve"> </w:t>
      </w:r>
      <w:r w:rsidRPr="00F0151C">
        <w:rPr>
          <w:rFonts w:ascii="Arial" w:eastAsia="Times New Roman" w:hAnsi="Arial" w:cs="Arial"/>
          <w:i/>
          <w:iCs/>
          <w:color w:val="auto"/>
          <w:spacing w:val="-2"/>
        </w:rPr>
        <w:t>Zużycie materiałów i energii</w:t>
      </w:r>
      <w:r w:rsidRPr="00F0151C">
        <w:rPr>
          <w:rFonts w:ascii="Arial" w:eastAsia="Times New Roman" w:hAnsi="Arial" w:cs="Arial"/>
          <w:color w:val="auto"/>
          <w:spacing w:val="-2"/>
        </w:rPr>
        <w:t xml:space="preserve">. </w:t>
      </w:r>
      <w:bookmarkEnd w:id="6"/>
      <w:r w:rsidRPr="00F0151C">
        <w:rPr>
          <w:rFonts w:ascii="Arial" w:eastAsia="Times New Roman" w:hAnsi="Arial" w:cs="Arial"/>
          <w:color w:val="auto"/>
          <w:spacing w:val="-2"/>
        </w:rPr>
        <w:t>Pozostałe środki trwałe umarza się jednorazowo w momencie przyjęcia ich do użytkowania. Zgodnie z rozporządzeniem Ministra Rozwoju i Finansów z dnia 13 września 2017 r. w sprawie rachunkowości oraz planów kont dla budżetu państwa, budżetów jednostek samorządu terytorialnego, jednostek budżetowych, samorządowych zakładów budżetowych</w:t>
      </w:r>
      <w:r w:rsidR="003D6166" w:rsidRPr="00F0151C">
        <w:rPr>
          <w:rFonts w:ascii="Arial" w:eastAsia="Times New Roman" w:hAnsi="Arial" w:cs="Arial"/>
          <w:color w:val="auto"/>
          <w:spacing w:val="-2"/>
        </w:rPr>
        <w:t xml:space="preserve"> (…</w:t>
      </w:r>
      <w:r w:rsidRPr="00F0151C">
        <w:rPr>
          <w:rFonts w:ascii="Arial" w:eastAsia="Times New Roman" w:hAnsi="Arial" w:cs="Arial"/>
          <w:color w:val="auto"/>
          <w:spacing w:val="-2"/>
        </w:rPr>
        <w:t xml:space="preserve">) konto 401 służy do ewidencji kosztów zużycia materiałów i energii, jak również, zgodnie z opisem do konta 072 </w:t>
      </w:r>
      <w:r w:rsidRPr="00F0151C">
        <w:rPr>
          <w:rFonts w:ascii="Arial" w:eastAsia="Times New Roman" w:hAnsi="Arial" w:cs="Arial"/>
          <w:i/>
          <w:iCs/>
          <w:color w:val="auto"/>
          <w:spacing w:val="-2"/>
        </w:rPr>
        <w:t>Umorzenie pozostałych środków trwałych, wartości niematerialnych i prawnych oraz zbiorów bibliotecznych</w:t>
      </w:r>
      <w:r w:rsidRPr="00F0151C">
        <w:rPr>
          <w:rFonts w:ascii="Arial" w:eastAsia="Times New Roman" w:hAnsi="Arial" w:cs="Arial"/>
          <w:color w:val="auto"/>
          <w:spacing w:val="-2"/>
        </w:rPr>
        <w:t>, do ewidencji umorzenia pozostałych środków trwałych.</w:t>
      </w:r>
      <w:r w:rsidR="00416C1C" w:rsidRPr="00F0151C">
        <w:rPr>
          <w:rFonts w:ascii="Arial" w:hAnsi="Arial" w:cs="Arial"/>
          <w:b/>
          <w:bCs/>
          <w:color w:val="auto"/>
          <w:spacing w:val="-2"/>
        </w:rPr>
        <w:t xml:space="preserve"> </w:t>
      </w:r>
      <w:r w:rsidR="00416C1C" w:rsidRPr="00F0151C">
        <w:rPr>
          <w:rFonts w:ascii="Arial" w:eastAsia="Times New Roman" w:hAnsi="Arial" w:cs="Arial"/>
          <w:b/>
          <w:bCs/>
          <w:color w:val="auto"/>
          <w:spacing w:val="-2"/>
        </w:rPr>
        <w:t>Powyższe stanowiło wniosek pokontrolny w poprzedniej kontroli.</w:t>
      </w:r>
    </w:p>
    <w:p w14:paraId="6961BFDA" w14:textId="14324CB5" w:rsidR="00663124" w:rsidRPr="00F0151C" w:rsidRDefault="005102E0" w:rsidP="00384BC5">
      <w:pPr>
        <w:pStyle w:val="Standard"/>
        <w:widowControl w:val="0"/>
        <w:numPr>
          <w:ilvl w:val="0"/>
          <w:numId w:val="13"/>
        </w:numPr>
        <w:tabs>
          <w:tab w:val="left" w:pos="-2410"/>
          <w:tab w:val="left" w:pos="-1596"/>
          <w:tab w:val="left" w:pos="476"/>
        </w:tabs>
        <w:overflowPunct/>
        <w:spacing w:after="0" w:line="360" w:lineRule="auto"/>
        <w:ind w:left="0" w:firstLine="0"/>
        <w:jc w:val="both"/>
        <w:rPr>
          <w:rFonts w:ascii="Arial" w:eastAsia="Times New Roman" w:hAnsi="Arial" w:cs="Arial"/>
          <w:color w:val="auto"/>
        </w:rPr>
      </w:pPr>
      <w:bookmarkStart w:id="7" w:name="_Hlk147236806"/>
      <w:r w:rsidRPr="00F0151C">
        <w:rPr>
          <w:rFonts w:ascii="Arial" w:eastAsia="Times New Roman" w:hAnsi="Arial" w:cs="Arial"/>
          <w:color w:val="auto"/>
        </w:rPr>
        <w:t>Dokonywanie jednostronnego księgowania na kontach zapisami plusowo-minusowymi</w:t>
      </w:r>
      <w:bookmarkEnd w:id="7"/>
      <w:r w:rsidRPr="00F0151C">
        <w:rPr>
          <w:rFonts w:ascii="Arial" w:eastAsia="Times New Roman" w:hAnsi="Arial" w:cs="Arial"/>
          <w:color w:val="auto"/>
        </w:rPr>
        <w:t>, co uchybia zasadzie podwójnego zapisu</w:t>
      </w:r>
      <w:r w:rsidR="00EC5014" w:rsidRPr="00F0151C">
        <w:rPr>
          <w:rFonts w:ascii="Arial" w:eastAsia="Times New Roman" w:hAnsi="Arial" w:cs="Arial"/>
          <w:color w:val="auto"/>
        </w:rPr>
        <w:t xml:space="preserve"> (art. 15 ust. 1 uor)</w:t>
      </w:r>
      <w:r w:rsidR="00C70709" w:rsidRPr="00F0151C">
        <w:rPr>
          <w:rFonts w:ascii="Arial" w:eastAsia="Times New Roman" w:hAnsi="Arial" w:cs="Arial"/>
          <w:color w:val="auto"/>
        </w:rPr>
        <w:t>,</w:t>
      </w:r>
      <w:r w:rsidRPr="00F0151C">
        <w:rPr>
          <w:rFonts w:ascii="Arial" w:eastAsia="Times New Roman" w:hAnsi="Arial" w:cs="Arial"/>
          <w:color w:val="auto"/>
        </w:rPr>
        <w:t xml:space="preserve"> co dotyczyło</w:t>
      </w:r>
      <w:r w:rsidR="00663124" w:rsidRPr="00F0151C">
        <w:rPr>
          <w:rFonts w:ascii="Arial" w:eastAsia="Times New Roman" w:hAnsi="Arial" w:cs="Arial"/>
          <w:color w:val="auto"/>
        </w:rPr>
        <w:t>:</w:t>
      </w:r>
    </w:p>
    <w:p w14:paraId="24E040DB" w14:textId="6609ED6D" w:rsidR="00667621" w:rsidRPr="00F0151C" w:rsidRDefault="00667621" w:rsidP="00326634">
      <w:pPr>
        <w:pStyle w:val="Standard"/>
        <w:widowControl w:val="0"/>
        <w:numPr>
          <w:ilvl w:val="0"/>
          <w:numId w:val="51"/>
        </w:numPr>
        <w:tabs>
          <w:tab w:val="left" w:pos="-2410"/>
          <w:tab w:val="left" w:pos="-1596"/>
          <w:tab w:val="left" w:pos="476"/>
        </w:tabs>
        <w:overflowPunct/>
        <w:spacing w:after="0" w:line="360" w:lineRule="auto"/>
        <w:ind w:left="426" w:hanging="426"/>
        <w:jc w:val="both"/>
        <w:rPr>
          <w:rFonts w:ascii="Arial" w:eastAsia="Times New Roman" w:hAnsi="Arial" w:cs="Arial"/>
          <w:color w:val="auto"/>
        </w:rPr>
      </w:pPr>
      <w:r w:rsidRPr="00F0151C">
        <w:rPr>
          <w:rFonts w:ascii="Arial" w:eastAsia="Times New Roman" w:hAnsi="Arial" w:cs="Arial"/>
          <w:color w:val="auto"/>
        </w:rPr>
        <w:t xml:space="preserve">ewidencji </w:t>
      </w:r>
      <w:r w:rsidR="005102E0" w:rsidRPr="00F0151C">
        <w:rPr>
          <w:rFonts w:ascii="Arial" w:eastAsia="Times New Roman" w:hAnsi="Arial" w:cs="Arial"/>
          <w:color w:val="auto"/>
        </w:rPr>
        <w:t xml:space="preserve">zwrotu nadpłaty </w:t>
      </w:r>
      <w:r w:rsidRPr="00F0151C">
        <w:rPr>
          <w:rFonts w:ascii="Arial" w:eastAsia="Times New Roman" w:hAnsi="Arial" w:cs="Arial"/>
          <w:color w:val="auto"/>
        </w:rPr>
        <w:t>przy wykupie</w:t>
      </w:r>
      <w:r w:rsidR="005102E0" w:rsidRPr="00F0151C">
        <w:rPr>
          <w:rFonts w:ascii="Arial" w:eastAsia="Times New Roman" w:hAnsi="Arial" w:cs="Arial"/>
          <w:color w:val="auto"/>
        </w:rPr>
        <w:t xml:space="preserve"> lokalu mieszkalnego zapisem </w:t>
      </w:r>
      <w:r w:rsidR="00A95F53" w:rsidRPr="00F0151C">
        <w:rPr>
          <w:rFonts w:ascii="Arial" w:eastAsia="Times New Roman" w:hAnsi="Arial" w:cs="Arial"/>
          <w:color w:val="auto"/>
        </w:rPr>
        <w:t xml:space="preserve">jednostronnym </w:t>
      </w:r>
      <w:r w:rsidR="005102E0" w:rsidRPr="00F0151C">
        <w:rPr>
          <w:rFonts w:ascii="Arial" w:eastAsia="Times New Roman" w:hAnsi="Arial" w:cs="Arial"/>
          <w:color w:val="auto"/>
        </w:rPr>
        <w:t>na stronie Ma kont</w:t>
      </w:r>
      <w:r w:rsidR="00A95F53" w:rsidRPr="00F0151C">
        <w:rPr>
          <w:rFonts w:ascii="Arial" w:eastAsia="Times New Roman" w:hAnsi="Arial" w:cs="Arial"/>
          <w:color w:val="auto"/>
        </w:rPr>
        <w:t>:</w:t>
      </w:r>
      <w:r w:rsidR="005102E0" w:rsidRPr="00F0151C">
        <w:rPr>
          <w:rFonts w:ascii="Arial" w:eastAsia="Times New Roman" w:hAnsi="Arial" w:cs="Arial"/>
          <w:color w:val="auto"/>
        </w:rPr>
        <w:t xml:space="preserve"> 131-005 </w:t>
      </w:r>
      <w:r w:rsidRPr="00F0151C">
        <w:rPr>
          <w:rFonts w:ascii="Arial" w:eastAsia="Times New Roman" w:hAnsi="Arial" w:cs="Arial"/>
          <w:i/>
          <w:iCs/>
          <w:color w:val="auto"/>
        </w:rPr>
        <w:t>Rachunek bankowy – rozliczenie z tytułu zakupu</w:t>
      </w:r>
      <w:r w:rsidRPr="00F0151C">
        <w:rPr>
          <w:rFonts w:ascii="Arial" w:eastAsia="Times New Roman" w:hAnsi="Arial" w:cs="Arial"/>
          <w:color w:val="auto"/>
        </w:rPr>
        <w:t xml:space="preserve"> </w:t>
      </w:r>
      <w:r w:rsidR="00C70709" w:rsidRPr="00F0151C">
        <w:rPr>
          <w:rFonts w:ascii="Arial" w:eastAsia="Times New Roman" w:hAnsi="Arial" w:cs="Arial"/>
          <w:color w:val="auto"/>
        </w:rPr>
        <w:t xml:space="preserve">z kwotą ze znakiem plus </w:t>
      </w:r>
      <w:r w:rsidR="005102E0" w:rsidRPr="00F0151C">
        <w:rPr>
          <w:rFonts w:ascii="Arial" w:eastAsia="Times New Roman" w:hAnsi="Arial" w:cs="Arial"/>
          <w:color w:val="auto"/>
        </w:rPr>
        <w:t xml:space="preserve">oraz </w:t>
      </w:r>
      <w:r w:rsidR="00C70709" w:rsidRPr="00F0151C">
        <w:rPr>
          <w:rFonts w:ascii="Arial" w:eastAsia="Times New Roman" w:hAnsi="Arial" w:cs="Arial"/>
          <w:color w:val="auto"/>
        </w:rPr>
        <w:t>201-204</w:t>
      </w:r>
      <w:r w:rsidRPr="00F0151C">
        <w:rPr>
          <w:rFonts w:ascii="Arial" w:eastAsia="Times New Roman" w:hAnsi="Arial" w:cs="Arial"/>
          <w:color w:val="auto"/>
        </w:rPr>
        <w:t xml:space="preserve"> </w:t>
      </w:r>
      <w:r w:rsidRPr="00F0151C">
        <w:rPr>
          <w:rFonts w:ascii="Arial" w:eastAsia="Times New Roman" w:hAnsi="Arial" w:cs="Arial"/>
          <w:i/>
          <w:iCs/>
          <w:color w:val="auto"/>
        </w:rPr>
        <w:t>Sprzedaż – czynsze, nakazy</w:t>
      </w:r>
      <w:r w:rsidR="00C70709" w:rsidRPr="00F0151C">
        <w:rPr>
          <w:rFonts w:ascii="Arial" w:eastAsia="Times New Roman" w:hAnsi="Arial" w:cs="Arial"/>
          <w:i/>
          <w:iCs/>
          <w:color w:val="auto"/>
        </w:rPr>
        <w:t xml:space="preserve"> </w:t>
      </w:r>
      <w:r w:rsidR="00C70709" w:rsidRPr="00F0151C">
        <w:rPr>
          <w:rFonts w:ascii="Arial" w:eastAsia="Times New Roman" w:hAnsi="Arial" w:cs="Arial"/>
          <w:color w:val="auto"/>
        </w:rPr>
        <w:t>kwotą ze znakiem minus,</w:t>
      </w:r>
      <w:r w:rsidRPr="00F0151C">
        <w:rPr>
          <w:rFonts w:ascii="Arial" w:eastAsia="Times New Roman" w:hAnsi="Arial" w:cs="Arial"/>
          <w:color w:val="auto"/>
        </w:rPr>
        <w:t xml:space="preserve"> co dotyczyło przykładowo:</w:t>
      </w:r>
    </w:p>
    <w:p w14:paraId="7ABC4A61" w14:textId="480C6A2E" w:rsidR="005102E0" w:rsidRPr="00F0151C" w:rsidRDefault="00F625A7" w:rsidP="00663124">
      <w:pPr>
        <w:pStyle w:val="Standard"/>
        <w:widowControl w:val="0"/>
        <w:numPr>
          <w:ilvl w:val="0"/>
          <w:numId w:val="30"/>
        </w:numPr>
        <w:tabs>
          <w:tab w:val="left" w:pos="-2410"/>
          <w:tab w:val="left" w:pos="-1596"/>
        </w:tabs>
        <w:overflowPunct/>
        <w:spacing w:after="0" w:line="360" w:lineRule="auto"/>
        <w:ind w:left="993" w:hanging="567"/>
        <w:jc w:val="both"/>
        <w:rPr>
          <w:rFonts w:ascii="Arial" w:eastAsia="Times New Roman" w:hAnsi="Arial" w:cs="Arial"/>
          <w:color w:val="auto"/>
        </w:rPr>
      </w:pPr>
      <w:r w:rsidRPr="00F0151C">
        <w:rPr>
          <w:rFonts w:ascii="Arial" w:eastAsia="Times New Roman" w:hAnsi="Arial" w:cs="Arial"/>
          <w:color w:val="auto"/>
        </w:rPr>
        <w:t>zwrotu</w:t>
      </w:r>
      <w:r w:rsidR="00667621" w:rsidRPr="00F0151C">
        <w:rPr>
          <w:rFonts w:ascii="Arial" w:eastAsia="Times New Roman" w:hAnsi="Arial" w:cs="Arial"/>
          <w:color w:val="auto"/>
        </w:rPr>
        <w:t xml:space="preserve"> na kwotę 20 000 zł</w:t>
      </w:r>
      <w:r w:rsidRPr="00F0151C">
        <w:rPr>
          <w:rFonts w:ascii="Arial" w:eastAsia="Times New Roman" w:hAnsi="Arial" w:cs="Arial"/>
          <w:color w:val="auto"/>
        </w:rPr>
        <w:t xml:space="preserve"> (dowód księgowy nr 012/235)</w:t>
      </w:r>
      <w:r w:rsidR="00667621" w:rsidRPr="00F0151C">
        <w:rPr>
          <w:rFonts w:ascii="Arial" w:eastAsia="Times New Roman" w:hAnsi="Arial" w:cs="Arial"/>
          <w:color w:val="auto"/>
        </w:rPr>
        <w:t>,</w:t>
      </w:r>
    </w:p>
    <w:p w14:paraId="366DA068" w14:textId="5FD88285" w:rsidR="00F625A7" w:rsidRPr="00F0151C" w:rsidRDefault="00F625A7" w:rsidP="00663124">
      <w:pPr>
        <w:pStyle w:val="Standard"/>
        <w:widowControl w:val="0"/>
        <w:numPr>
          <w:ilvl w:val="0"/>
          <w:numId w:val="30"/>
        </w:numPr>
        <w:tabs>
          <w:tab w:val="left" w:pos="-2410"/>
          <w:tab w:val="left" w:pos="-1596"/>
        </w:tabs>
        <w:overflowPunct/>
        <w:spacing w:after="0" w:line="360" w:lineRule="auto"/>
        <w:ind w:left="993" w:hanging="567"/>
        <w:jc w:val="both"/>
        <w:rPr>
          <w:rFonts w:ascii="Arial" w:eastAsia="Times New Roman" w:hAnsi="Arial" w:cs="Arial"/>
          <w:color w:val="auto"/>
        </w:rPr>
      </w:pPr>
      <w:r w:rsidRPr="00F0151C">
        <w:rPr>
          <w:rFonts w:ascii="Arial" w:eastAsia="Times New Roman" w:hAnsi="Arial" w:cs="Arial"/>
          <w:color w:val="auto"/>
        </w:rPr>
        <w:t>zwrotu na kwotę 11 533,88 zł (dowód księgowy nr 012/011),</w:t>
      </w:r>
    </w:p>
    <w:p w14:paraId="0AFBF4CA" w14:textId="3FEFB8B1" w:rsidR="00F625A7" w:rsidRPr="00F0151C" w:rsidRDefault="00F625A7" w:rsidP="00663124">
      <w:pPr>
        <w:pStyle w:val="Standard"/>
        <w:widowControl w:val="0"/>
        <w:numPr>
          <w:ilvl w:val="0"/>
          <w:numId w:val="30"/>
        </w:numPr>
        <w:tabs>
          <w:tab w:val="left" w:pos="-2410"/>
          <w:tab w:val="left" w:pos="-1596"/>
        </w:tabs>
        <w:overflowPunct/>
        <w:spacing w:after="0" w:line="360" w:lineRule="auto"/>
        <w:ind w:left="993" w:hanging="567"/>
        <w:jc w:val="both"/>
        <w:rPr>
          <w:rFonts w:ascii="Arial" w:eastAsia="Times New Roman" w:hAnsi="Arial" w:cs="Arial"/>
          <w:color w:val="auto"/>
        </w:rPr>
      </w:pPr>
      <w:r w:rsidRPr="00F0151C">
        <w:rPr>
          <w:rFonts w:ascii="Arial" w:eastAsia="Times New Roman" w:hAnsi="Arial" w:cs="Arial"/>
          <w:color w:val="auto"/>
        </w:rPr>
        <w:t>zwrotu na kwotę 2 167,26 zł (dowód księgowy nr 012/011),</w:t>
      </w:r>
    </w:p>
    <w:p w14:paraId="2F8EF4EC" w14:textId="6CFDA08B" w:rsidR="00667621" w:rsidRPr="00F0151C" w:rsidRDefault="00F625A7" w:rsidP="00663124">
      <w:pPr>
        <w:pStyle w:val="Standard"/>
        <w:widowControl w:val="0"/>
        <w:numPr>
          <w:ilvl w:val="0"/>
          <w:numId w:val="30"/>
        </w:numPr>
        <w:tabs>
          <w:tab w:val="left" w:pos="-2410"/>
          <w:tab w:val="left" w:pos="-1596"/>
        </w:tabs>
        <w:overflowPunct/>
        <w:spacing w:after="0" w:line="360" w:lineRule="auto"/>
        <w:ind w:left="993" w:hanging="567"/>
        <w:jc w:val="both"/>
        <w:rPr>
          <w:rFonts w:ascii="Arial" w:eastAsia="Times New Roman" w:hAnsi="Arial" w:cs="Arial"/>
          <w:color w:val="auto"/>
        </w:rPr>
      </w:pPr>
      <w:r w:rsidRPr="00F0151C">
        <w:rPr>
          <w:rFonts w:ascii="Arial" w:eastAsia="Times New Roman" w:hAnsi="Arial" w:cs="Arial"/>
          <w:color w:val="auto"/>
        </w:rPr>
        <w:t>zwrotu na kwotę 4 200 zł (dowód księgowy nr 012/011).</w:t>
      </w:r>
    </w:p>
    <w:p w14:paraId="0BA3A6C6" w14:textId="77777777" w:rsidR="004A7B7D" w:rsidRPr="00F0151C" w:rsidRDefault="008E1B1E" w:rsidP="004A7B7D">
      <w:pPr>
        <w:pStyle w:val="Standard"/>
        <w:widowControl w:val="0"/>
        <w:numPr>
          <w:ilvl w:val="0"/>
          <w:numId w:val="51"/>
        </w:numPr>
        <w:tabs>
          <w:tab w:val="left" w:pos="-2410"/>
          <w:tab w:val="left" w:pos="-1596"/>
        </w:tabs>
        <w:overflowPunct/>
        <w:spacing w:after="0" w:line="360" w:lineRule="auto"/>
        <w:ind w:left="426" w:hanging="426"/>
        <w:jc w:val="both"/>
        <w:rPr>
          <w:rFonts w:ascii="Arial" w:eastAsia="Times New Roman" w:hAnsi="Arial" w:cs="Arial"/>
          <w:color w:val="auto"/>
        </w:rPr>
      </w:pPr>
      <w:r w:rsidRPr="00F0151C">
        <w:rPr>
          <w:rFonts w:ascii="Arial" w:eastAsia="Times New Roman" w:hAnsi="Arial" w:cs="Arial"/>
          <w:color w:val="auto"/>
        </w:rPr>
        <w:t>ewidencji zwrotu nadpłaty z rozliczenia wody i ścieków na kwotę 149,58 zł ujętej zapisem</w:t>
      </w:r>
      <w:r w:rsidR="00EC5014" w:rsidRPr="00F0151C">
        <w:rPr>
          <w:rFonts w:ascii="Arial" w:eastAsia="Times New Roman" w:hAnsi="Arial" w:cs="Arial"/>
          <w:color w:val="auto"/>
        </w:rPr>
        <w:t xml:space="preserve"> dodatnim </w:t>
      </w:r>
      <w:r w:rsidRPr="00F0151C">
        <w:rPr>
          <w:rFonts w:ascii="Arial" w:eastAsia="Times New Roman" w:hAnsi="Arial" w:cs="Arial"/>
          <w:color w:val="auto"/>
        </w:rPr>
        <w:t xml:space="preserve"> po stronie Ma konta 131</w:t>
      </w:r>
      <w:r w:rsidR="005D4F54" w:rsidRPr="00F0151C">
        <w:rPr>
          <w:rFonts w:ascii="Arial" w:eastAsia="Times New Roman" w:hAnsi="Arial" w:cs="Arial"/>
          <w:color w:val="auto"/>
        </w:rPr>
        <w:t>-005</w:t>
      </w:r>
      <w:r w:rsidRPr="00F0151C">
        <w:rPr>
          <w:rFonts w:ascii="Arial" w:eastAsia="Times New Roman" w:hAnsi="Arial" w:cs="Arial"/>
          <w:color w:val="auto"/>
        </w:rPr>
        <w:t xml:space="preserve"> oraz konta 201-204 z</w:t>
      </w:r>
      <w:r w:rsidR="00EC5014" w:rsidRPr="00F0151C">
        <w:rPr>
          <w:rFonts w:ascii="Arial" w:eastAsia="Times New Roman" w:hAnsi="Arial" w:cs="Arial"/>
          <w:color w:val="auto"/>
        </w:rPr>
        <w:t>apisem ujemnym</w:t>
      </w:r>
      <w:r w:rsidRPr="00F0151C">
        <w:rPr>
          <w:rFonts w:ascii="Arial" w:eastAsia="Times New Roman" w:hAnsi="Arial" w:cs="Arial"/>
          <w:color w:val="auto"/>
        </w:rPr>
        <w:t>.</w:t>
      </w:r>
    </w:p>
    <w:p w14:paraId="750A87E2" w14:textId="7791F3F3" w:rsidR="00147F37" w:rsidRPr="00F0151C" w:rsidRDefault="00EE32E0" w:rsidP="004A7B7D">
      <w:pPr>
        <w:pStyle w:val="Standard"/>
        <w:widowControl w:val="0"/>
        <w:numPr>
          <w:ilvl w:val="0"/>
          <w:numId w:val="13"/>
        </w:numPr>
        <w:tabs>
          <w:tab w:val="left" w:pos="-2410"/>
          <w:tab w:val="left" w:pos="-1596"/>
        </w:tabs>
        <w:overflowPunct/>
        <w:spacing w:after="0" w:line="360" w:lineRule="auto"/>
        <w:ind w:left="0" w:firstLine="0"/>
        <w:jc w:val="both"/>
        <w:rPr>
          <w:rFonts w:ascii="Arial" w:eastAsia="Times New Roman" w:hAnsi="Arial" w:cs="Arial"/>
          <w:color w:val="auto"/>
        </w:rPr>
      </w:pPr>
      <w:r w:rsidRPr="00F0151C">
        <w:rPr>
          <w:rFonts w:ascii="Arial" w:eastAsia="Times New Roman" w:hAnsi="Arial" w:cs="Arial"/>
          <w:color w:val="auto"/>
          <w:spacing w:val="-2"/>
        </w:rPr>
        <w:t xml:space="preserve">Zakwalifikowanie operacji gospodarczych do niewłaściwych paragrafów klasyfikacji budżetowej, tj. niezgodnie z rozporządzeniem </w:t>
      </w:r>
      <w:r w:rsidR="00AD5DEE" w:rsidRPr="00F0151C">
        <w:rPr>
          <w:rFonts w:ascii="Arial" w:eastAsia="Times New Roman" w:hAnsi="Arial" w:cs="Arial"/>
          <w:color w:val="auto"/>
          <w:spacing w:val="-2"/>
        </w:rPr>
        <w:t xml:space="preserve">Ministra Finansów z dnia 2 marca 2010 r. w sprawie szczegółowej klasyfikacji dochodów, wydatków, przychodów i rozchodów oraz środków pochodzących ze źródeł zagranicznych (t.j. Dz. U. z 2022 r. poz. 513 z późn. zm.) </w:t>
      </w:r>
      <w:r w:rsidRPr="00F0151C">
        <w:rPr>
          <w:rFonts w:ascii="Arial" w:eastAsia="Times New Roman" w:hAnsi="Arial" w:cs="Arial"/>
          <w:color w:val="auto"/>
          <w:spacing w:val="-2"/>
        </w:rPr>
        <w:t>przykładowo:</w:t>
      </w:r>
    </w:p>
    <w:p w14:paraId="2F588275" w14:textId="7980DF88" w:rsidR="00AD5DEE" w:rsidRPr="00F0151C" w:rsidRDefault="00D40A8F" w:rsidP="00384BC5">
      <w:pPr>
        <w:pStyle w:val="Standard"/>
        <w:widowControl w:val="0"/>
        <w:numPr>
          <w:ilvl w:val="0"/>
          <w:numId w:val="28"/>
        </w:numPr>
        <w:tabs>
          <w:tab w:val="left" w:pos="-3828"/>
          <w:tab w:val="left" w:pos="-2410"/>
          <w:tab w:val="left" w:pos="504"/>
        </w:tabs>
        <w:overflowPunct/>
        <w:spacing w:after="0" w:line="360" w:lineRule="auto"/>
        <w:ind w:left="0" w:firstLine="0"/>
        <w:jc w:val="both"/>
        <w:rPr>
          <w:rFonts w:ascii="Arial" w:hAnsi="Arial" w:cs="Arial"/>
          <w:color w:val="auto"/>
          <w:spacing w:val="-2"/>
        </w:rPr>
      </w:pPr>
      <w:r w:rsidRPr="00F0151C">
        <w:rPr>
          <w:rFonts w:ascii="Arial" w:hAnsi="Arial" w:cs="Arial"/>
          <w:color w:val="auto"/>
          <w:spacing w:val="-2"/>
        </w:rPr>
        <w:t xml:space="preserve">ujęcie w § 4210 </w:t>
      </w:r>
      <w:r w:rsidRPr="00F0151C">
        <w:rPr>
          <w:rFonts w:ascii="Arial" w:hAnsi="Arial" w:cs="Arial"/>
          <w:i/>
          <w:iCs/>
          <w:color w:val="auto"/>
          <w:spacing w:val="-2"/>
        </w:rPr>
        <w:t xml:space="preserve">Zakup materiałów i wyposażenia </w:t>
      </w:r>
      <w:r w:rsidRPr="00F0151C">
        <w:rPr>
          <w:rFonts w:ascii="Arial" w:hAnsi="Arial" w:cs="Arial"/>
          <w:color w:val="auto"/>
          <w:spacing w:val="-2"/>
        </w:rPr>
        <w:t xml:space="preserve">zakupu biletów na przejazd </w:t>
      </w:r>
      <w:r w:rsidR="00136FD3" w:rsidRPr="00F0151C">
        <w:rPr>
          <w:rFonts w:ascii="Arial" w:hAnsi="Arial" w:cs="Arial"/>
          <w:color w:val="auto"/>
          <w:spacing w:val="-2"/>
        </w:rPr>
        <w:t xml:space="preserve">na szkolenie </w:t>
      </w:r>
      <w:r w:rsidRPr="00F0151C">
        <w:rPr>
          <w:rFonts w:ascii="Arial" w:hAnsi="Arial" w:cs="Arial"/>
          <w:color w:val="auto"/>
          <w:spacing w:val="-2"/>
        </w:rPr>
        <w:t xml:space="preserve">zamiast w § 4700 </w:t>
      </w:r>
      <w:r w:rsidRPr="00F0151C">
        <w:rPr>
          <w:rFonts w:ascii="Arial" w:hAnsi="Arial" w:cs="Arial"/>
          <w:i/>
          <w:iCs/>
          <w:color w:val="auto"/>
          <w:spacing w:val="-2"/>
        </w:rPr>
        <w:t>Szkolenia pracowników niebędących członkami korpusu służby cywilnej</w:t>
      </w:r>
      <w:r w:rsidR="00136FD3" w:rsidRPr="00F0151C">
        <w:rPr>
          <w:rFonts w:ascii="Arial" w:hAnsi="Arial" w:cs="Arial"/>
          <w:i/>
          <w:iCs/>
          <w:color w:val="auto"/>
          <w:spacing w:val="-2"/>
        </w:rPr>
        <w:t xml:space="preserve">, </w:t>
      </w:r>
      <w:r w:rsidR="00136FD3" w:rsidRPr="00F0151C">
        <w:rPr>
          <w:rFonts w:ascii="Arial" w:hAnsi="Arial" w:cs="Arial"/>
          <w:color w:val="auto"/>
          <w:spacing w:val="-2"/>
        </w:rPr>
        <w:t xml:space="preserve">co przykładowo dotyczyło dowodu księgowego nr 037/11/008 oraz 097/11/009 z 30.11.2022 r. </w:t>
      </w:r>
      <w:r w:rsidR="00136FD3" w:rsidRPr="00F0151C">
        <w:rPr>
          <w:rFonts w:ascii="Arial" w:hAnsi="Arial" w:cs="Arial"/>
          <w:color w:val="auto"/>
          <w:spacing w:val="-2"/>
        </w:rPr>
        <w:lastRenderedPageBreak/>
        <w:t xml:space="preserve">Zgodnie z rozporządzeniem do kosztów szkoleń należy zaliczyć wszystkie koszty związane ze szkoleniem, w tym również ponoszone koszty dojazdów, zakwaterowania i wyżywienia uczestników. </w:t>
      </w:r>
    </w:p>
    <w:p w14:paraId="3C9BC715" w14:textId="26571CDD" w:rsidR="006D7818" w:rsidRPr="00F0151C" w:rsidRDefault="0051700B" w:rsidP="00384BC5">
      <w:pPr>
        <w:pStyle w:val="Standard"/>
        <w:widowControl w:val="0"/>
        <w:numPr>
          <w:ilvl w:val="0"/>
          <w:numId w:val="28"/>
        </w:numPr>
        <w:tabs>
          <w:tab w:val="left" w:pos="-3828"/>
          <w:tab w:val="left" w:pos="-2410"/>
          <w:tab w:val="left" w:pos="504"/>
        </w:tabs>
        <w:overflowPunct/>
        <w:spacing w:after="0" w:line="360" w:lineRule="auto"/>
        <w:ind w:left="0" w:firstLine="0"/>
        <w:jc w:val="both"/>
        <w:rPr>
          <w:rFonts w:ascii="Arial" w:hAnsi="Arial" w:cs="Arial"/>
          <w:color w:val="auto"/>
          <w:spacing w:val="-2"/>
        </w:rPr>
      </w:pPr>
      <w:r w:rsidRPr="00F0151C">
        <w:rPr>
          <w:rFonts w:ascii="Arial" w:hAnsi="Arial" w:cs="Arial"/>
          <w:color w:val="auto"/>
          <w:spacing w:val="-2"/>
        </w:rPr>
        <w:t xml:space="preserve">ujęcie w § 4210 </w:t>
      </w:r>
      <w:r w:rsidRPr="00F0151C">
        <w:rPr>
          <w:rFonts w:ascii="Arial" w:hAnsi="Arial" w:cs="Arial"/>
          <w:i/>
          <w:iCs/>
          <w:color w:val="auto"/>
          <w:spacing w:val="-2"/>
        </w:rPr>
        <w:t xml:space="preserve">Zakup materiałów i wyposażenia </w:t>
      </w:r>
      <w:r w:rsidRPr="00F0151C">
        <w:rPr>
          <w:rFonts w:ascii="Arial" w:hAnsi="Arial" w:cs="Arial"/>
          <w:color w:val="auto"/>
          <w:spacing w:val="-2"/>
        </w:rPr>
        <w:t xml:space="preserve">zakupu biletów </w:t>
      </w:r>
      <w:r w:rsidR="009C5A27" w:rsidRPr="00F0151C">
        <w:rPr>
          <w:rFonts w:ascii="Arial" w:hAnsi="Arial" w:cs="Arial"/>
          <w:color w:val="auto"/>
          <w:spacing w:val="-2"/>
        </w:rPr>
        <w:t xml:space="preserve">PKP </w:t>
      </w:r>
      <w:r w:rsidR="00263AB1" w:rsidRPr="00F0151C">
        <w:rPr>
          <w:rFonts w:ascii="Arial" w:hAnsi="Arial" w:cs="Arial"/>
          <w:color w:val="auto"/>
          <w:spacing w:val="-2"/>
        </w:rPr>
        <w:t>w związku z</w:t>
      </w:r>
      <w:r w:rsidR="007B1281" w:rsidRPr="00F0151C">
        <w:rPr>
          <w:rFonts w:ascii="Arial" w:hAnsi="Arial" w:cs="Arial"/>
          <w:color w:val="auto"/>
          <w:spacing w:val="-2"/>
        </w:rPr>
        <w:t> </w:t>
      </w:r>
      <w:r w:rsidR="007D05A1" w:rsidRPr="00F0151C">
        <w:rPr>
          <w:rFonts w:ascii="Arial" w:hAnsi="Arial" w:cs="Arial"/>
          <w:color w:val="auto"/>
          <w:spacing w:val="-2"/>
        </w:rPr>
        <w:t>podróżą służbową</w:t>
      </w:r>
      <w:r w:rsidR="00263AB1" w:rsidRPr="00F0151C">
        <w:rPr>
          <w:rFonts w:ascii="Arial" w:hAnsi="Arial" w:cs="Arial"/>
          <w:color w:val="auto"/>
          <w:spacing w:val="-2"/>
        </w:rPr>
        <w:t xml:space="preserve"> pracownika </w:t>
      </w:r>
      <w:r w:rsidRPr="00F0151C">
        <w:rPr>
          <w:rFonts w:ascii="Arial" w:hAnsi="Arial" w:cs="Arial"/>
          <w:color w:val="auto"/>
          <w:spacing w:val="-2"/>
        </w:rPr>
        <w:t xml:space="preserve">zamiast w § 4410 </w:t>
      </w:r>
      <w:r w:rsidRPr="00F0151C">
        <w:rPr>
          <w:rFonts w:ascii="Arial" w:hAnsi="Arial" w:cs="Arial"/>
          <w:i/>
          <w:iCs/>
          <w:color w:val="auto"/>
          <w:spacing w:val="-2"/>
        </w:rPr>
        <w:t>Podróże służbowe krajowe</w:t>
      </w:r>
      <w:r w:rsidR="00263AB1" w:rsidRPr="00F0151C">
        <w:rPr>
          <w:rFonts w:ascii="Arial" w:hAnsi="Arial" w:cs="Arial"/>
          <w:i/>
          <w:iCs/>
          <w:color w:val="auto"/>
          <w:spacing w:val="-2"/>
        </w:rPr>
        <w:t xml:space="preserve"> </w:t>
      </w:r>
      <w:r w:rsidR="00263AB1" w:rsidRPr="00F0151C">
        <w:rPr>
          <w:rFonts w:ascii="Arial" w:hAnsi="Arial" w:cs="Arial"/>
          <w:color w:val="auto"/>
          <w:spacing w:val="-2"/>
        </w:rPr>
        <w:t xml:space="preserve">(dowód księgowy 027/03/001, </w:t>
      </w:r>
      <w:r w:rsidR="007B1281" w:rsidRPr="00F0151C">
        <w:rPr>
          <w:rFonts w:ascii="Arial" w:hAnsi="Arial" w:cs="Arial"/>
          <w:color w:val="auto"/>
          <w:spacing w:val="-2"/>
        </w:rPr>
        <w:t xml:space="preserve">027/003/002, </w:t>
      </w:r>
      <w:r w:rsidR="00263AB1" w:rsidRPr="00F0151C">
        <w:rPr>
          <w:rFonts w:ascii="Arial" w:hAnsi="Arial" w:cs="Arial"/>
          <w:color w:val="auto"/>
          <w:spacing w:val="-2"/>
        </w:rPr>
        <w:t>027/003/003</w:t>
      </w:r>
      <w:r w:rsidR="007B1281" w:rsidRPr="00F0151C">
        <w:rPr>
          <w:rFonts w:ascii="Arial" w:hAnsi="Arial" w:cs="Arial"/>
          <w:color w:val="auto"/>
          <w:spacing w:val="-2"/>
        </w:rPr>
        <w:t xml:space="preserve"> z 23.03.2023 r. oraz </w:t>
      </w:r>
      <w:r w:rsidR="00263AB1" w:rsidRPr="00F0151C">
        <w:rPr>
          <w:rFonts w:ascii="Arial" w:hAnsi="Arial" w:cs="Arial"/>
          <w:color w:val="auto"/>
          <w:spacing w:val="-2"/>
        </w:rPr>
        <w:t xml:space="preserve"> 027/003/004</w:t>
      </w:r>
      <w:r w:rsidR="007B1281" w:rsidRPr="00F0151C">
        <w:rPr>
          <w:rFonts w:ascii="Arial" w:hAnsi="Arial" w:cs="Arial"/>
          <w:color w:val="auto"/>
          <w:spacing w:val="-2"/>
        </w:rPr>
        <w:t xml:space="preserve"> z 29.03.2023 r.</w:t>
      </w:r>
    </w:p>
    <w:p w14:paraId="6EA271FA" w14:textId="0260B57B" w:rsidR="00B90D35" w:rsidRPr="00F0151C" w:rsidRDefault="00F84E35" w:rsidP="00384BC5">
      <w:pPr>
        <w:pStyle w:val="Standard"/>
        <w:widowControl w:val="0"/>
        <w:numPr>
          <w:ilvl w:val="0"/>
          <w:numId w:val="28"/>
        </w:numPr>
        <w:tabs>
          <w:tab w:val="left" w:pos="-3828"/>
          <w:tab w:val="left" w:pos="-2410"/>
          <w:tab w:val="left" w:pos="504"/>
        </w:tabs>
        <w:overflowPunct/>
        <w:spacing w:after="0" w:line="360" w:lineRule="auto"/>
        <w:ind w:left="0" w:firstLine="0"/>
        <w:jc w:val="both"/>
        <w:rPr>
          <w:rFonts w:ascii="Arial" w:hAnsi="Arial" w:cs="Arial"/>
          <w:color w:val="auto"/>
          <w:spacing w:val="-2"/>
        </w:rPr>
      </w:pPr>
      <w:r w:rsidRPr="00F0151C">
        <w:rPr>
          <w:rFonts w:ascii="Arial" w:hAnsi="Arial" w:cs="Arial"/>
          <w:color w:val="auto"/>
          <w:spacing w:val="-2"/>
        </w:rPr>
        <w:t xml:space="preserve">ujęcie </w:t>
      </w:r>
      <w:r w:rsidR="00B90D35" w:rsidRPr="00F0151C">
        <w:rPr>
          <w:rFonts w:ascii="Arial" w:hAnsi="Arial" w:cs="Arial"/>
          <w:color w:val="auto"/>
          <w:spacing w:val="-2"/>
        </w:rPr>
        <w:t xml:space="preserve">wyszczególnionych na fakturze kosztów zakupu materiałów przeznaczonych do naprawy samochodu służbowego do </w:t>
      </w:r>
      <w:r w:rsidRPr="00F0151C">
        <w:rPr>
          <w:rFonts w:ascii="Arial" w:hAnsi="Arial" w:cs="Arial"/>
          <w:color w:val="auto"/>
          <w:spacing w:val="-2"/>
        </w:rPr>
        <w:t xml:space="preserve">§ 4300 </w:t>
      </w:r>
      <w:r w:rsidRPr="00F0151C">
        <w:rPr>
          <w:rFonts w:ascii="Arial" w:hAnsi="Arial" w:cs="Arial"/>
          <w:i/>
          <w:iCs/>
          <w:color w:val="auto"/>
          <w:spacing w:val="-2"/>
        </w:rPr>
        <w:t>Zakup usług pozostałych</w:t>
      </w:r>
      <w:r w:rsidR="00B90D35" w:rsidRPr="00F0151C">
        <w:rPr>
          <w:rFonts w:ascii="Arial" w:hAnsi="Arial" w:cs="Arial"/>
          <w:i/>
          <w:iCs/>
          <w:color w:val="auto"/>
          <w:spacing w:val="-2"/>
        </w:rPr>
        <w:t xml:space="preserve">, </w:t>
      </w:r>
      <w:r w:rsidR="00B90D35" w:rsidRPr="00F0151C">
        <w:rPr>
          <w:rFonts w:ascii="Arial" w:hAnsi="Arial" w:cs="Arial"/>
          <w:color w:val="auto"/>
          <w:spacing w:val="-2"/>
        </w:rPr>
        <w:t>co dotyczyło faktury nr FA 4/2023 z 27.01.2023 r. na kwotę 1 337 zł, w której wyszczególniono materiały na kwotę 7</w:t>
      </w:r>
      <w:r w:rsidR="003F429F" w:rsidRPr="00F0151C">
        <w:rPr>
          <w:rFonts w:ascii="Arial" w:hAnsi="Arial" w:cs="Arial"/>
          <w:color w:val="auto"/>
          <w:spacing w:val="-2"/>
        </w:rPr>
        <w:t>57 </w:t>
      </w:r>
      <w:r w:rsidR="00B90D35" w:rsidRPr="00F0151C">
        <w:rPr>
          <w:rFonts w:ascii="Arial" w:hAnsi="Arial" w:cs="Arial"/>
          <w:color w:val="auto"/>
          <w:spacing w:val="-2"/>
        </w:rPr>
        <w:t xml:space="preserve">zł oraz robociznę na kwotę 580 zł oraz </w:t>
      </w:r>
      <w:r w:rsidRPr="00F0151C">
        <w:rPr>
          <w:rFonts w:ascii="Arial" w:hAnsi="Arial" w:cs="Arial"/>
          <w:color w:val="auto"/>
          <w:spacing w:val="-2"/>
        </w:rPr>
        <w:t xml:space="preserve">faktury nr FA 3/22 z 26.01.2022 r. na kwotę 595 zł z tytułu zakupu, jak opisano na odwrocie faktury, produktów samochodowych oraz wykonania usługi zbieżności kół osi przedniej w samochodzie służbowym. Na fakturze wyszczególniono zakupy: olej silnikowy (166 zł), filtr oleju (27 zł), filtr powietrza (36 zł), filtr paliwa108 zł), zbieżność kół osi przedniej i usługę serwisową. Zatem wydatki </w:t>
      </w:r>
      <w:r w:rsidR="003F429F" w:rsidRPr="00F0151C">
        <w:rPr>
          <w:rFonts w:ascii="Arial" w:hAnsi="Arial" w:cs="Arial"/>
          <w:color w:val="auto"/>
          <w:spacing w:val="-2"/>
        </w:rPr>
        <w:t>na</w:t>
      </w:r>
      <w:r w:rsidRPr="00F0151C">
        <w:rPr>
          <w:rFonts w:ascii="Arial" w:hAnsi="Arial" w:cs="Arial"/>
          <w:color w:val="auto"/>
          <w:spacing w:val="-2"/>
        </w:rPr>
        <w:t xml:space="preserve"> zakup produktów prawidłowo należało ująć w § 4210 </w:t>
      </w:r>
      <w:r w:rsidRPr="00F0151C">
        <w:rPr>
          <w:rFonts w:ascii="Arial" w:hAnsi="Arial" w:cs="Arial"/>
          <w:i/>
          <w:iCs/>
          <w:color w:val="auto"/>
          <w:spacing w:val="-2"/>
        </w:rPr>
        <w:t>Zakup materiałów i wyposażeni</w:t>
      </w:r>
      <w:r w:rsidR="003F429F" w:rsidRPr="00F0151C">
        <w:rPr>
          <w:rFonts w:ascii="Arial" w:hAnsi="Arial" w:cs="Arial"/>
          <w:i/>
          <w:iCs/>
          <w:color w:val="auto"/>
          <w:spacing w:val="-2"/>
        </w:rPr>
        <w:t xml:space="preserve">a, </w:t>
      </w:r>
      <w:r w:rsidR="003F429F" w:rsidRPr="00F0151C">
        <w:rPr>
          <w:rFonts w:ascii="Arial" w:hAnsi="Arial" w:cs="Arial"/>
          <w:color w:val="auto"/>
          <w:spacing w:val="-2"/>
        </w:rPr>
        <w:t>z tytułu naprawy samochodu</w:t>
      </w:r>
      <w:r w:rsidR="003F429F" w:rsidRPr="00F0151C">
        <w:rPr>
          <w:rFonts w:ascii="Arial" w:hAnsi="Arial" w:cs="Arial"/>
          <w:i/>
          <w:iCs/>
          <w:color w:val="auto"/>
          <w:spacing w:val="-2"/>
        </w:rPr>
        <w:t xml:space="preserve"> </w:t>
      </w:r>
      <w:r w:rsidR="003F429F" w:rsidRPr="00F0151C">
        <w:rPr>
          <w:rFonts w:ascii="Arial" w:hAnsi="Arial" w:cs="Arial"/>
          <w:color w:val="auto"/>
          <w:spacing w:val="-2"/>
        </w:rPr>
        <w:t>do §</w:t>
      </w:r>
      <w:r w:rsidR="00EC782B" w:rsidRPr="00F0151C">
        <w:rPr>
          <w:rFonts w:ascii="Arial" w:hAnsi="Arial" w:cs="Arial"/>
          <w:color w:val="auto"/>
          <w:spacing w:val="-2"/>
        </w:rPr>
        <w:t> </w:t>
      </w:r>
      <w:r w:rsidR="003F429F" w:rsidRPr="00F0151C">
        <w:rPr>
          <w:rFonts w:ascii="Arial" w:hAnsi="Arial" w:cs="Arial"/>
          <w:color w:val="auto"/>
          <w:spacing w:val="-2"/>
        </w:rPr>
        <w:t xml:space="preserve">4270 </w:t>
      </w:r>
      <w:r w:rsidR="003F429F" w:rsidRPr="00F0151C">
        <w:rPr>
          <w:rFonts w:ascii="Arial" w:hAnsi="Arial" w:cs="Arial"/>
          <w:i/>
          <w:iCs/>
          <w:color w:val="auto"/>
          <w:spacing w:val="-2"/>
        </w:rPr>
        <w:t>Zakup usług remontowych</w:t>
      </w:r>
      <w:r w:rsidR="003F429F" w:rsidRPr="00F0151C">
        <w:rPr>
          <w:rFonts w:ascii="Arial" w:hAnsi="Arial" w:cs="Arial"/>
          <w:color w:val="auto"/>
          <w:spacing w:val="-2"/>
        </w:rPr>
        <w:t xml:space="preserve">, a usługi do § 4300 </w:t>
      </w:r>
      <w:r w:rsidR="003F429F" w:rsidRPr="00F0151C">
        <w:rPr>
          <w:rFonts w:ascii="Arial" w:hAnsi="Arial" w:cs="Arial"/>
          <w:i/>
          <w:iCs/>
          <w:color w:val="auto"/>
          <w:spacing w:val="-2"/>
        </w:rPr>
        <w:t>Zakup usług pozostałych.</w:t>
      </w:r>
    </w:p>
    <w:p w14:paraId="561DAAC3" w14:textId="17905986" w:rsidR="00136FD3" w:rsidRPr="00F0151C" w:rsidRDefault="00136FD3" w:rsidP="00384BC5">
      <w:pPr>
        <w:pStyle w:val="Standard"/>
        <w:widowControl w:val="0"/>
        <w:numPr>
          <w:ilvl w:val="0"/>
          <w:numId w:val="28"/>
        </w:numPr>
        <w:tabs>
          <w:tab w:val="left" w:pos="-3828"/>
          <w:tab w:val="left" w:pos="-2410"/>
          <w:tab w:val="left" w:pos="504"/>
        </w:tabs>
        <w:overflowPunct/>
        <w:spacing w:after="0" w:line="360" w:lineRule="auto"/>
        <w:ind w:left="0" w:firstLine="0"/>
        <w:jc w:val="both"/>
        <w:rPr>
          <w:rFonts w:ascii="Arial" w:hAnsi="Arial" w:cs="Arial"/>
          <w:color w:val="auto"/>
          <w:spacing w:val="-2"/>
        </w:rPr>
      </w:pPr>
      <w:r w:rsidRPr="00F0151C">
        <w:rPr>
          <w:rFonts w:ascii="Arial" w:hAnsi="Arial" w:cs="Arial"/>
          <w:color w:val="auto"/>
          <w:spacing w:val="-2"/>
        </w:rPr>
        <w:t xml:space="preserve">ujęcie w § 4300 </w:t>
      </w:r>
      <w:r w:rsidRPr="00F0151C">
        <w:rPr>
          <w:rFonts w:ascii="Arial" w:hAnsi="Arial" w:cs="Arial"/>
          <w:i/>
          <w:iCs/>
          <w:color w:val="auto"/>
          <w:spacing w:val="-2"/>
        </w:rPr>
        <w:t xml:space="preserve">Zakup usług pozostałych </w:t>
      </w:r>
      <w:r w:rsidRPr="00F0151C">
        <w:rPr>
          <w:rFonts w:ascii="Arial" w:hAnsi="Arial" w:cs="Arial"/>
          <w:color w:val="auto"/>
          <w:spacing w:val="-2"/>
        </w:rPr>
        <w:t xml:space="preserve">zakupu książki nadawczej w ilości 10 szt. (dowód księgowy nr 037/07/002) zamiast w § 4210 </w:t>
      </w:r>
      <w:r w:rsidRPr="00F0151C">
        <w:rPr>
          <w:rFonts w:ascii="Arial" w:hAnsi="Arial" w:cs="Arial"/>
          <w:i/>
          <w:iCs/>
          <w:color w:val="auto"/>
          <w:spacing w:val="-2"/>
        </w:rPr>
        <w:t>Zakup materiałów i wyposażenia</w:t>
      </w:r>
      <w:r w:rsidR="00673D94" w:rsidRPr="00F0151C">
        <w:rPr>
          <w:rFonts w:ascii="Arial" w:hAnsi="Arial" w:cs="Arial"/>
          <w:i/>
          <w:iCs/>
          <w:color w:val="auto"/>
          <w:spacing w:val="-2"/>
        </w:rPr>
        <w:t>.</w:t>
      </w:r>
      <w:r w:rsidR="0047652C" w:rsidRPr="00F0151C">
        <w:rPr>
          <w:rFonts w:ascii="Arial" w:hAnsi="Arial" w:cs="Arial"/>
          <w:i/>
          <w:iCs/>
          <w:color w:val="auto"/>
          <w:spacing w:val="-2"/>
        </w:rPr>
        <w:t xml:space="preserve"> </w:t>
      </w:r>
    </w:p>
    <w:p w14:paraId="6A67A09B" w14:textId="24915995" w:rsidR="00A15B3F" w:rsidRPr="00F0151C" w:rsidRDefault="009946EA" w:rsidP="00384BC5">
      <w:pPr>
        <w:pStyle w:val="Standard"/>
        <w:widowControl w:val="0"/>
        <w:numPr>
          <w:ilvl w:val="0"/>
          <w:numId w:val="28"/>
        </w:numPr>
        <w:tabs>
          <w:tab w:val="left" w:pos="-3828"/>
          <w:tab w:val="left" w:pos="-2410"/>
          <w:tab w:val="left" w:pos="504"/>
        </w:tabs>
        <w:overflowPunct/>
        <w:spacing w:after="0" w:line="360" w:lineRule="auto"/>
        <w:ind w:left="0" w:firstLine="0"/>
        <w:jc w:val="both"/>
        <w:rPr>
          <w:rFonts w:ascii="Arial" w:hAnsi="Arial" w:cs="Arial"/>
          <w:color w:val="auto"/>
          <w:spacing w:val="-2"/>
        </w:rPr>
      </w:pPr>
      <w:r w:rsidRPr="00F0151C">
        <w:rPr>
          <w:rFonts w:ascii="Arial" w:hAnsi="Arial" w:cs="Arial"/>
          <w:color w:val="auto"/>
          <w:spacing w:val="-2"/>
        </w:rPr>
        <w:t xml:space="preserve">ujęcie w § 4300 </w:t>
      </w:r>
      <w:bookmarkStart w:id="8" w:name="_Hlk147229778"/>
      <w:r w:rsidRPr="00F0151C">
        <w:rPr>
          <w:rFonts w:ascii="Arial" w:hAnsi="Arial" w:cs="Arial"/>
          <w:i/>
          <w:iCs/>
          <w:color w:val="auto"/>
          <w:spacing w:val="-2"/>
        </w:rPr>
        <w:t>Zakup usług pozostałych</w:t>
      </w:r>
      <w:r w:rsidRPr="00F0151C">
        <w:rPr>
          <w:rFonts w:ascii="Arial" w:hAnsi="Arial" w:cs="Arial"/>
          <w:color w:val="auto"/>
          <w:spacing w:val="-2"/>
        </w:rPr>
        <w:t xml:space="preserve"> </w:t>
      </w:r>
      <w:bookmarkEnd w:id="8"/>
      <w:r w:rsidR="00AD5DEE" w:rsidRPr="00F0151C">
        <w:rPr>
          <w:rFonts w:ascii="Arial" w:hAnsi="Arial" w:cs="Arial"/>
          <w:color w:val="auto"/>
          <w:spacing w:val="-2"/>
        </w:rPr>
        <w:t>opłat</w:t>
      </w:r>
      <w:r w:rsidRPr="00F0151C">
        <w:rPr>
          <w:rFonts w:ascii="Arial" w:hAnsi="Arial" w:cs="Arial"/>
          <w:color w:val="auto"/>
          <w:spacing w:val="-2"/>
        </w:rPr>
        <w:t>y</w:t>
      </w:r>
      <w:r w:rsidR="00AD5DEE" w:rsidRPr="00F0151C">
        <w:rPr>
          <w:rFonts w:ascii="Arial" w:hAnsi="Arial" w:cs="Arial"/>
          <w:color w:val="auto"/>
          <w:spacing w:val="-2"/>
        </w:rPr>
        <w:t xml:space="preserve"> ewidencyjn</w:t>
      </w:r>
      <w:r w:rsidRPr="00F0151C">
        <w:rPr>
          <w:rFonts w:ascii="Arial" w:hAnsi="Arial" w:cs="Arial"/>
          <w:color w:val="auto"/>
          <w:spacing w:val="-2"/>
        </w:rPr>
        <w:t>ej pobranej</w:t>
      </w:r>
      <w:r w:rsidR="00AD5DEE" w:rsidRPr="00F0151C">
        <w:rPr>
          <w:rFonts w:ascii="Arial" w:hAnsi="Arial" w:cs="Arial"/>
          <w:color w:val="auto"/>
          <w:spacing w:val="-2"/>
        </w:rPr>
        <w:t xml:space="preserve"> przy okresowym badaniu tech</w:t>
      </w:r>
      <w:r w:rsidRPr="00F0151C">
        <w:rPr>
          <w:rFonts w:ascii="Arial" w:hAnsi="Arial" w:cs="Arial"/>
          <w:color w:val="auto"/>
          <w:spacing w:val="-2"/>
        </w:rPr>
        <w:t>nicznym</w:t>
      </w:r>
      <w:r w:rsidR="00AD5DEE" w:rsidRPr="00F0151C">
        <w:rPr>
          <w:rFonts w:ascii="Arial" w:hAnsi="Arial" w:cs="Arial"/>
          <w:color w:val="auto"/>
          <w:spacing w:val="-2"/>
        </w:rPr>
        <w:t xml:space="preserve"> </w:t>
      </w:r>
      <w:r w:rsidRPr="00F0151C">
        <w:rPr>
          <w:rFonts w:ascii="Arial" w:hAnsi="Arial" w:cs="Arial"/>
          <w:color w:val="auto"/>
          <w:spacing w:val="-2"/>
        </w:rPr>
        <w:t>s</w:t>
      </w:r>
      <w:r w:rsidR="00AD5DEE" w:rsidRPr="00F0151C">
        <w:rPr>
          <w:rFonts w:ascii="Arial" w:hAnsi="Arial" w:cs="Arial"/>
          <w:color w:val="auto"/>
          <w:spacing w:val="-2"/>
        </w:rPr>
        <w:t>amochodu</w:t>
      </w:r>
      <w:r w:rsidR="00857457" w:rsidRPr="00F0151C">
        <w:rPr>
          <w:rFonts w:ascii="Arial" w:hAnsi="Arial" w:cs="Arial"/>
          <w:color w:val="auto"/>
          <w:spacing w:val="-2"/>
        </w:rPr>
        <w:t xml:space="preserve"> zamiast </w:t>
      </w:r>
      <w:r w:rsidRPr="00F0151C">
        <w:rPr>
          <w:rFonts w:ascii="Arial" w:hAnsi="Arial" w:cs="Arial"/>
          <w:color w:val="auto"/>
          <w:spacing w:val="-2"/>
        </w:rPr>
        <w:t xml:space="preserve">§ </w:t>
      </w:r>
      <w:r w:rsidR="00857457" w:rsidRPr="00F0151C">
        <w:rPr>
          <w:rFonts w:ascii="Arial" w:hAnsi="Arial" w:cs="Arial"/>
          <w:color w:val="auto"/>
          <w:spacing w:val="-2"/>
        </w:rPr>
        <w:t>4</w:t>
      </w:r>
      <w:r w:rsidR="00A15B3F" w:rsidRPr="00F0151C">
        <w:rPr>
          <w:rFonts w:ascii="Arial" w:hAnsi="Arial" w:cs="Arial"/>
          <w:color w:val="auto"/>
          <w:spacing w:val="-2"/>
        </w:rPr>
        <w:t xml:space="preserve">430 </w:t>
      </w:r>
      <w:r w:rsidR="00A15B3F" w:rsidRPr="00F0151C">
        <w:rPr>
          <w:rFonts w:ascii="Arial" w:hAnsi="Arial" w:cs="Arial"/>
          <w:i/>
          <w:iCs/>
          <w:color w:val="auto"/>
          <w:spacing w:val="-2"/>
        </w:rPr>
        <w:t>Różne opłaty i składki</w:t>
      </w:r>
      <w:r w:rsidR="00A15B3F" w:rsidRPr="00F0151C">
        <w:rPr>
          <w:rFonts w:ascii="Arial" w:hAnsi="Arial" w:cs="Arial"/>
          <w:color w:val="auto"/>
          <w:spacing w:val="-2"/>
        </w:rPr>
        <w:t xml:space="preserve"> (dowód księgowy </w:t>
      </w:r>
      <w:r w:rsidR="0047652C" w:rsidRPr="00F0151C">
        <w:rPr>
          <w:rFonts w:ascii="Arial" w:hAnsi="Arial" w:cs="Arial"/>
          <w:color w:val="auto"/>
          <w:spacing w:val="-2"/>
        </w:rPr>
        <w:t xml:space="preserve">037/01/006 z 27.01.2022 r., </w:t>
      </w:r>
      <w:r w:rsidR="00A15B3F" w:rsidRPr="00F0151C">
        <w:rPr>
          <w:rFonts w:ascii="Arial" w:hAnsi="Arial" w:cs="Arial"/>
          <w:color w:val="auto"/>
          <w:spacing w:val="-2"/>
        </w:rPr>
        <w:t>037/01/004 z 31.01.2022 r.).</w:t>
      </w:r>
      <w:r w:rsidRPr="00F0151C">
        <w:rPr>
          <w:rFonts w:ascii="Arial" w:hAnsi="Arial" w:cs="Arial"/>
          <w:color w:val="auto"/>
          <w:spacing w:val="-2"/>
        </w:rPr>
        <w:t xml:space="preserve"> </w:t>
      </w:r>
      <w:r w:rsidR="00F84E35" w:rsidRPr="00F0151C">
        <w:rPr>
          <w:rFonts w:ascii="Arial" w:hAnsi="Arial" w:cs="Arial"/>
          <w:color w:val="auto"/>
          <w:spacing w:val="-2"/>
        </w:rPr>
        <w:t>W</w:t>
      </w:r>
      <w:r w:rsidR="00A15B3F" w:rsidRPr="00F0151C">
        <w:rPr>
          <w:rFonts w:ascii="Arial" w:hAnsi="Arial" w:cs="Arial"/>
          <w:color w:val="auto"/>
          <w:spacing w:val="-2"/>
        </w:rPr>
        <w:t xml:space="preserve"> odniesieniu do opłat wynikających z rozporządzenia Ministra Cyfryzacji z 30.08.2016 r. w sprawie opłaty ewidencyjnej stanowiącej przychód Funduszu – Centralna Ewidencja Pojazdów i Kierowców (Dz. U. poz. 1377 z późn. zm.) wydatki te należ</w:t>
      </w:r>
      <w:r w:rsidR="00F84E35" w:rsidRPr="00F0151C">
        <w:rPr>
          <w:rFonts w:ascii="Arial" w:hAnsi="Arial" w:cs="Arial"/>
          <w:color w:val="auto"/>
          <w:spacing w:val="-2"/>
        </w:rPr>
        <w:t>ało</w:t>
      </w:r>
      <w:r w:rsidR="00A15B3F" w:rsidRPr="00F0151C">
        <w:rPr>
          <w:rFonts w:ascii="Arial" w:hAnsi="Arial" w:cs="Arial"/>
          <w:color w:val="auto"/>
          <w:spacing w:val="-2"/>
        </w:rPr>
        <w:t xml:space="preserve"> ujmować w paragrafie 443 „Różne opłaty i składki”.</w:t>
      </w:r>
      <w:r w:rsidR="00F84E35" w:rsidRPr="00F0151C">
        <w:rPr>
          <w:rFonts w:ascii="Arial" w:hAnsi="Arial" w:cs="Arial"/>
          <w:color w:val="auto"/>
          <w:spacing w:val="-2"/>
        </w:rPr>
        <w:t xml:space="preserve"> Zauważa się, że po wejściu w życie ustawy z dnia 26 maja 2023 r. o zmianie ustawy – Prawo o ruchu drogowym oraz niektórych innych ustaw, tj. z dniem 1 lipca 2023 r. zniesione zostają opłaty ewidencyjne, które były pobierane i przekazywane przez Stacje Kontroli Pojazdów na rachunek funduszu – </w:t>
      </w:r>
      <w:proofErr w:type="spellStart"/>
      <w:r w:rsidR="00F84E35" w:rsidRPr="00F0151C">
        <w:rPr>
          <w:rFonts w:ascii="Arial" w:hAnsi="Arial" w:cs="Arial"/>
          <w:color w:val="auto"/>
          <w:spacing w:val="-2"/>
        </w:rPr>
        <w:t>CEPiK</w:t>
      </w:r>
      <w:proofErr w:type="spellEnd"/>
      <w:r w:rsidR="00F84E35" w:rsidRPr="00F0151C">
        <w:rPr>
          <w:rFonts w:ascii="Arial" w:hAnsi="Arial" w:cs="Arial"/>
          <w:color w:val="auto"/>
          <w:spacing w:val="-2"/>
        </w:rPr>
        <w:t>.</w:t>
      </w:r>
    </w:p>
    <w:p w14:paraId="4D1CC086" w14:textId="7F48A0D3" w:rsidR="007D6D5D" w:rsidRPr="00F0151C" w:rsidRDefault="00FA5BE9" w:rsidP="007D6D5D">
      <w:pPr>
        <w:pStyle w:val="Standard"/>
        <w:widowControl w:val="0"/>
        <w:numPr>
          <w:ilvl w:val="0"/>
          <w:numId w:val="28"/>
        </w:numPr>
        <w:tabs>
          <w:tab w:val="left" w:pos="-3828"/>
          <w:tab w:val="left" w:pos="-2410"/>
          <w:tab w:val="left" w:pos="504"/>
        </w:tabs>
        <w:overflowPunct/>
        <w:spacing w:after="0" w:line="360" w:lineRule="auto"/>
        <w:ind w:left="0" w:firstLine="0"/>
        <w:jc w:val="both"/>
        <w:rPr>
          <w:rFonts w:ascii="Arial" w:hAnsi="Arial" w:cs="Arial"/>
          <w:color w:val="auto"/>
          <w:spacing w:val="-2"/>
        </w:rPr>
      </w:pPr>
      <w:r w:rsidRPr="00F0151C">
        <w:rPr>
          <w:rFonts w:ascii="Arial" w:hAnsi="Arial" w:cs="Arial"/>
          <w:color w:val="auto"/>
          <w:spacing w:val="-2"/>
        </w:rPr>
        <w:t xml:space="preserve">ujęcie § 4300 </w:t>
      </w:r>
      <w:r w:rsidRPr="00F0151C">
        <w:rPr>
          <w:rFonts w:ascii="Arial" w:hAnsi="Arial" w:cs="Arial"/>
          <w:i/>
          <w:iCs/>
          <w:color w:val="auto"/>
          <w:spacing w:val="-2"/>
        </w:rPr>
        <w:t>Zakup usług pozostałych</w:t>
      </w:r>
      <w:r w:rsidRPr="00F0151C">
        <w:rPr>
          <w:rFonts w:ascii="Arial" w:hAnsi="Arial" w:cs="Arial"/>
          <w:color w:val="auto"/>
          <w:spacing w:val="-2"/>
        </w:rPr>
        <w:t xml:space="preserve"> </w:t>
      </w:r>
      <w:r w:rsidR="00BC69F6" w:rsidRPr="00F0151C">
        <w:rPr>
          <w:rFonts w:ascii="Arial" w:hAnsi="Arial" w:cs="Arial"/>
          <w:color w:val="auto"/>
          <w:spacing w:val="-2"/>
        </w:rPr>
        <w:t>składki członkowskie</w:t>
      </w:r>
      <w:r w:rsidRPr="00F0151C">
        <w:rPr>
          <w:rFonts w:ascii="Arial" w:hAnsi="Arial" w:cs="Arial"/>
          <w:color w:val="auto"/>
          <w:spacing w:val="-2"/>
        </w:rPr>
        <w:t>j płaconej do</w:t>
      </w:r>
      <w:r w:rsidR="00BC69F6" w:rsidRPr="00F0151C">
        <w:rPr>
          <w:rFonts w:ascii="Arial" w:hAnsi="Arial" w:cs="Arial"/>
          <w:color w:val="auto"/>
          <w:spacing w:val="-2"/>
        </w:rPr>
        <w:t xml:space="preserve"> Krajow</w:t>
      </w:r>
      <w:r w:rsidRPr="00F0151C">
        <w:rPr>
          <w:rFonts w:ascii="Arial" w:hAnsi="Arial" w:cs="Arial"/>
          <w:color w:val="auto"/>
          <w:spacing w:val="-2"/>
        </w:rPr>
        <w:t>ej</w:t>
      </w:r>
      <w:r w:rsidR="00BC69F6" w:rsidRPr="00F0151C">
        <w:rPr>
          <w:rFonts w:ascii="Arial" w:hAnsi="Arial" w:cs="Arial"/>
          <w:color w:val="auto"/>
          <w:spacing w:val="-2"/>
        </w:rPr>
        <w:t xml:space="preserve"> Izb</w:t>
      </w:r>
      <w:r w:rsidRPr="00F0151C">
        <w:rPr>
          <w:rFonts w:ascii="Arial" w:hAnsi="Arial" w:cs="Arial"/>
          <w:color w:val="auto"/>
          <w:spacing w:val="-2"/>
        </w:rPr>
        <w:t>y</w:t>
      </w:r>
      <w:r w:rsidR="00BC69F6" w:rsidRPr="00F0151C">
        <w:rPr>
          <w:rFonts w:ascii="Arial" w:hAnsi="Arial" w:cs="Arial"/>
          <w:color w:val="auto"/>
          <w:spacing w:val="-2"/>
        </w:rPr>
        <w:t xml:space="preserve"> Gospodarki Nieruchomościami zamiast 4430</w:t>
      </w:r>
      <w:r w:rsidRPr="00F0151C">
        <w:rPr>
          <w:rFonts w:ascii="Arial" w:hAnsi="Arial" w:cs="Arial"/>
          <w:color w:val="auto"/>
          <w:spacing w:val="-2"/>
        </w:rPr>
        <w:t xml:space="preserve"> </w:t>
      </w:r>
      <w:r w:rsidRPr="00F0151C">
        <w:rPr>
          <w:rFonts w:ascii="Arial" w:hAnsi="Arial" w:cs="Arial"/>
          <w:i/>
          <w:iCs/>
          <w:color w:val="auto"/>
          <w:spacing w:val="-2"/>
        </w:rPr>
        <w:t>Różne opłaty i składki.</w:t>
      </w:r>
      <w:r w:rsidRPr="00F0151C">
        <w:rPr>
          <w:rFonts w:ascii="Arial" w:hAnsi="Arial" w:cs="Arial"/>
          <w:color w:val="auto"/>
          <w:spacing w:val="-2"/>
        </w:rPr>
        <w:t xml:space="preserve"> W  opisie paragrafu zawartego w rozporządzeniu Ministra Finansów z 2.03.2010 r. w sprawie szczegółowej klasyfikacji dochodów, wydatków, przychodów i rozchodów oraz środków pochodzących ze źródeł zagranicznych (Dz.U. z 2022 r. poz. 513 ze zm.) wymieniono przykładowo „wydatki na składki na rzecz stowarzyszeń krajowych, inne”.</w:t>
      </w:r>
    </w:p>
    <w:p w14:paraId="07B1ECAC" w14:textId="77777777" w:rsidR="007D6D5D" w:rsidRPr="00F0151C" w:rsidRDefault="007D6D5D" w:rsidP="007D6D5D">
      <w:pPr>
        <w:pStyle w:val="Standard"/>
        <w:widowControl w:val="0"/>
        <w:tabs>
          <w:tab w:val="left" w:pos="-3828"/>
          <w:tab w:val="left" w:pos="-2410"/>
          <w:tab w:val="left" w:pos="504"/>
        </w:tabs>
        <w:overflowPunct/>
        <w:spacing w:after="0" w:line="360" w:lineRule="auto"/>
        <w:jc w:val="both"/>
        <w:rPr>
          <w:rFonts w:ascii="Arial" w:hAnsi="Arial" w:cs="Arial"/>
          <w:color w:val="auto"/>
          <w:spacing w:val="-2"/>
        </w:rPr>
      </w:pPr>
    </w:p>
    <w:p w14:paraId="7B2ABEB8" w14:textId="122A4D38" w:rsidR="0006122F" w:rsidRPr="00F0151C" w:rsidRDefault="008327F1" w:rsidP="0006122F">
      <w:pPr>
        <w:pStyle w:val="Standard"/>
        <w:widowControl w:val="0"/>
        <w:numPr>
          <w:ilvl w:val="0"/>
          <w:numId w:val="28"/>
        </w:numPr>
        <w:tabs>
          <w:tab w:val="left" w:pos="-3828"/>
          <w:tab w:val="left" w:pos="-2410"/>
          <w:tab w:val="left" w:pos="504"/>
        </w:tabs>
        <w:overflowPunct/>
        <w:spacing w:after="0" w:line="360" w:lineRule="auto"/>
        <w:ind w:left="0" w:firstLine="0"/>
        <w:jc w:val="both"/>
        <w:rPr>
          <w:rFonts w:ascii="Arial" w:hAnsi="Arial" w:cs="Arial"/>
          <w:color w:val="auto"/>
          <w:spacing w:val="-2"/>
        </w:rPr>
      </w:pPr>
      <w:r w:rsidRPr="00F0151C">
        <w:rPr>
          <w:rFonts w:ascii="Arial" w:hAnsi="Arial" w:cs="Arial"/>
          <w:color w:val="auto"/>
          <w:spacing w:val="-2"/>
        </w:rPr>
        <w:lastRenderedPageBreak/>
        <w:t xml:space="preserve">ujęcie </w:t>
      </w:r>
      <w:bookmarkStart w:id="9" w:name="_Hlk146277473"/>
      <w:r w:rsidRPr="00F0151C">
        <w:rPr>
          <w:rFonts w:ascii="Arial" w:hAnsi="Arial" w:cs="Arial"/>
          <w:color w:val="auto"/>
        </w:rPr>
        <w:t xml:space="preserve">w § </w:t>
      </w:r>
      <w:bookmarkEnd w:id="9"/>
      <w:r w:rsidRPr="00F0151C">
        <w:rPr>
          <w:rFonts w:ascii="Arial" w:hAnsi="Arial" w:cs="Arial"/>
          <w:color w:val="auto"/>
        </w:rPr>
        <w:t xml:space="preserve">4270 </w:t>
      </w:r>
      <w:r w:rsidRPr="00F0151C">
        <w:rPr>
          <w:rFonts w:ascii="Arial" w:hAnsi="Arial" w:cs="Arial"/>
          <w:i/>
          <w:iCs/>
          <w:color w:val="auto"/>
          <w:spacing w:val="-2"/>
        </w:rPr>
        <w:t>Zakup usług remontowych</w:t>
      </w:r>
      <w:r w:rsidRPr="00F0151C">
        <w:rPr>
          <w:rFonts w:ascii="Arial" w:hAnsi="Arial" w:cs="Arial"/>
          <w:color w:val="auto"/>
        </w:rPr>
        <w:t xml:space="preserve"> faktur VAT FAS/214/2022 z 28.02.2022 na kwotę 1 296 zł</w:t>
      </w:r>
      <w:r w:rsidR="00323A9C" w:rsidRPr="00F0151C">
        <w:rPr>
          <w:rFonts w:ascii="Arial" w:hAnsi="Arial" w:cs="Arial"/>
          <w:color w:val="auto"/>
        </w:rPr>
        <w:t xml:space="preserve"> i </w:t>
      </w:r>
      <w:r w:rsidRPr="00F0151C">
        <w:rPr>
          <w:rFonts w:ascii="Arial" w:hAnsi="Arial" w:cs="Arial"/>
          <w:color w:val="auto"/>
        </w:rPr>
        <w:t>VAT FAS/533/2022 z 2.05.2022 r.</w:t>
      </w:r>
      <w:r w:rsidR="00323A9C" w:rsidRPr="00F0151C">
        <w:rPr>
          <w:rFonts w:ascii="Arial" w:hAnsi="Arial" w:cs="Arial"/>
          <w:color w:val="auto"/>
        </w:rPr>
        <w:t xml:space="preserve"> na kwotę 1296 zł</w:t>
      </w:r>
      <w:r w:rsidRPr="00F0151C">
        <w:rPr>
          <w:rFonts w:ascii="Arial" w:hAnsi="Arial" w:cs="Arial"/>
          <w:color w:val="auto"/>
        </w:rPr>
        <w:t xml:space="preserve"> za całodobową kompleksową obsługę kotłowni węglowej w budynku mieszkalny</w:t>
      </w:r>
      <w:r w:rsidR="004F5956" w:rsidRPr="00F0151C">
        <w:rPr>
          <w:rFonts w:ascii="Arial" w:hAnsi="Arial" w:cs="Arial"/>
          <w:color w:val="auto"/>
        </w:rPr>
        <w:t>m</w:t>
      </w:r>
      <w:r w:rsidRPr="00F0151C">
        <w:rPr>
          <w:rFonts w:ascii="Arial" w:hAnsi="Arial" w:cs="Arial"/>
          <w:color w:val="auto"/>
        </w:rPr>
        <w:t xml:space="preserve"> przy ul. Szkolnej zamiast w § 4300</w:t>
      </w:r>
      <w:r w:rsidRPr="00F0151C">
        <w:rPr>
          <w:rFonts w:ascii="Arial" w:hAnsi="Arial" w:cs="Arial"/>
          <w:i/>
          <w:iCs/>
          <w:color w:val="auto"/>
          <w:spacing w:val="-2"/>
        </w:rPr>
        <w:t xml:space="preserve"> Zakup usług pozostałych</w:t>
      </w:r>
    </w:p>
    <w:p w14:paraId="57260C45" w14:textId="2716ACB6" w:rsidR="00EE32E0" w:rsidRPr="00F0151C" w:rsidRDefault="00306536" w:rsidP="0006122F">
      <w:pPr>
        <w:pStyle w:val="Standard"/>
        <w:widowControl w:val="0"/>
        <w:numPr>
          <w:ilvl w:val="0"/>
          <w:numId w:val="13"/>
        </w:numPr>
        <w:tabs>
          <w:tab w:val="left" w:pos="-3828"/>
          <w:tab w:val="left" w:pos="-2410"/>
        </w:tabs>
        <w:overflowPunct/>
        <w:spacing w:after="0" w:line="360" w:lineRule="auto"/>
        <w:ind w:left="0" w:firstLine="0"/>
        <w:jc w:val="both"/>
        <w:rPr>
          <w:rFonts w:ascii="Arial" w:hAnsi="Arial" w:cs="Arial"/>
          <w:color w:val="auto"/>
          <w:spacing w:val="-2"/>
        </w:rPr>
      </w:pPr>
      <w:r w:rsidRPr="00F0151C">
        <w:rPr>
          <w:rFonts w:ascii="Arial" w:hAnsi="Arial" w:cs="Arial"/>
          <w:color w:val="auto"/>
        </w:rPr>
        <w:t>Błędne ujmowanie w księgach rachunkowych rozliczeń z Komornikiem Sądowym z</w:t>
      </w:r>
      <w:r w:rsidR="00893845" w:rsidRPr="00F0151C">
        <w:rPr>
          <w:rFonts w:ascii="Arial" w:hAnsi="Arial" w:cs="Arial"/>
          <w:color w:val="auto"/>
        </w:rPr>
        <w:t> </w:t>
      </w:r>
      <w:r w:rsidRPr="00F0151C">
        <w:rPr>
          <w:rFonts w:ascii="Arial" w:hAnsi="Arial" w:cs="Arial"/>
          <w:color w:val="auto"/>
        </w:rPr>
        <w:t>tytułu zapłaconych zaliczek, tj. ujęcie</w:t>
      </w:r>
      <w:r w:rsidR="003430CE" w:rsidRPr="00F0151C">
        <w:rPr>
          <w:rFonts w:ascii="Arial" w:hAnsi="Arial" w:cs="Arial"/>
          <w:color w:val="auto"/>
        </w:rPr>
        <w:t xml:space="preserve"> </w:t>
      </w:r>
      <w:r w:rsidR="00EE32E0" w:rsidRPr="00F0151C">
        <w:rPr>
          <w:rFonts w:ascii="Arial" w:hAnsi="Arial" w:cs="Arial"/>
          <w:color w:val="auto"/>
        </w:rPr>
        <w:t xml:space="preserve">kwot wynikających z otrzymanych wezwań od komorników sądowych tytułem uiszczenia zaliczek </w:t>
      </w:r>
      <w:r w:rsidR="00555910" w:rsidRPr="00F0151C">
        <w:rPr>
          <w:rFonts w:ascii="Arial" w:hAnsi="Arial" w:cs="Arial"/>
          <w:color w:val="auto"/>
        </w:rPr>
        <w:t xml:space="preserve">na koszty egzekucyjne, </w:t>
      </w:r>
      <w:r w:rsidR="00EE32E0" w:rsidRPr="00F0151C">
        <w:rPr>
          <w:rFonts w:ascii="Arial" w:hAnsi="Arial" w:cs="Arial"/>
          <w:color w:val="auto"/>
        </w:rPr>
        <w:t xml:space="preserve">na pokrycie np. </w:t>
      </w:r>
      <w:r w:rsidR="008966ED" w:rsidRPr="00F0151C">
        <w:rPr>
          <w:rFonts w:ascii="Arial" w:hAnsi="Arial" w:cs="Arial"/>
          <w:color w:val="auto"/>
        </w:rPr>
        <w:t xml:space="preserve">kosztów </w:t>
      </w:r>
      <w:r w:rsidR="00555910" w:rsidRPr="00F0151C">
        <w:rPr>
          <w:rFonts w:ascii="Arial" w:hAnsi="Arial" w:cs="Arial"/>
          <w:color w:val="auto"/>
        </w:rPr>
        <w:t>uzyskania dokumentów lub informacji niezbędnych do prowadzenia postępowania (</w:t>
      </w:r>
      <w:r w:rsidR="00EE32E0" w:rsidRPr="00F0151C">
        <w:rPr>
          <w:rFonts w:ascii="Arial" w:hAnsi="Arial" w:cs="Arial"/>
          <w:color w:val="auto"/>
        </w:rPr>
        <w:t>poszukiwania majątku dłużnika, doręczenia korespondencji stronom itp.</w:t>
      </w:r>
      <w:r w:rsidR="00555910" w:rsidRPr="00F0151C">
        <w:rPr>
          <w:rFonts w:ascii="Arial" w:hAnsi="Arial" w:cs="Arial"/>
          <w:color w:val="auto"/>
        </w:rPr>
        <w:t>)</w:t>
      </w:r>
      <w:r w:rsidR="00EE32E0" w:rsidRPr="00F0151C">
        <w:rPr>
          <w:rFonts w:ascii="Arial" w:hAnsi="Arial" w:cs="Arial"/>
          <w:color w:val="auto"/>
        </w:rPr>
        <w:t xml:space="preserve"> </w:t>
      </w:r>
      <w:r w:rsidR="003430CE" w:rsidRPr="00F0151C">
        <w:rPr>
          <w:rFonts w:ascii="Arial" w:hAnsi="Arial" w:cs="Arial"/>
          <w:color w:val="auto"/>
        </w:rPr>
        <w:t xml:space="preserve">na koncie 201 </w:t>
      </w:r>
      <w:r w:rsidR="003430CE" w:rsidRPr="00F0151C">
        <w:rPr>
          <w:rFonts w:ascii="Arial" w:hAnsi="Arial" w:cs="Arial"/>
          <w:i/>
          <w:iCs/>
          <w:color w:val="auto"/>
        </w:rPr>
        <w:t>Rozrachunki z dostawcami i odbiorcami</w:t>
      </w:r>
      <w:r w:rsidR="003430CE" w:rsidRPr="00F0151C">
        <w:rPr>
          <w:rFonts w:ascii="Arial" w:hAnsi="Arial" w:cs="Arial"/>
          <w:color w:val="auto"/>
        </w:rPr>
        <w:t xml:space="preserve"> zamiast prawidłowo na koncie 240 </w:t>
      </w:r>
      <w:r w:rsidR="003430CE" w:rsidRPr="00F0151C">
        <w:rPr>
          <w:rFonts w:ascii="Arial" w:hAnsi="Arial" w:cs="Arial"/>
          <w:i/>
          <w:iCs/>
          <w:color w:val="auto"/>
        </w:rPr>
        <w:t>Pozostałe rozrachunki</w:t>
      </w:r>
      <w:r w:rsidR="00E10A49" w:rsidRPr="00F0151C">
        <w:rPr>
          <w:rFonts w:ascii="Arial" w:hAnsi="Arial" w:cs="Arial"/>
          <w:color w:val="auto"/>
        </w:rPr>
        <w:t xml:space="preserve"> </w:t>
      </w:r>
      <w:r w:rsidRPr="00F0151C">
        <w:rPr>
          <w:rFonts w:ascii="Arial" w:hAnsi="Arial" w:cs="Arial"/>
          <w:color w:val="auto"/>
        </w:rPr>
        <w:t>i</w:t>
      </w:r>
      <w:r w:rsidR="00E10A49" w:rsidRPr="00F0151C">
        <w:rPr>
          <w:rFonts w:ascii="Arial" w:hAnsi="Arial" w:cs="Arial"/>
          <w:color w:val="auto"/>
        </w:rPr>
        <w:t xml:space="preserve"> bezpośrednio w pozostałe koszty operacyjne</w:t>
      </w:r>
      <w:r w:rsidRPr="00F0151C">
        <w:rPr>
          <w:rFonts w:ascii="Arial" w:hAnsi="Arial" w:cs="Arial"/>
          <w:color w:val="auto"/>
        </w:rPr>
        <w:t xml:space="preserve"> (761) oraz ujęcie zwrotu zaliczki od komornika sądowego na koncie 760 </w:t>
      </w:r>
      <w:r w:rsidRPr="00F0151C">
        <w:rPr>
          <w:rFonts w:ascii="Arial" w:hAnsi="Arial" w:cs="Arial"/>
          <w:i/>
          <w:iCs/>
          <w:color w:val="auto"/>
        </w:rPr>
        <w:t>Pozostałe przychody operacyjne</w:t>
      </w:r>
      <w:r w:rsidR="00E10A49" w:rsidRPr="00F0151C">
        <w:rPr>
          <w:rFonts w:ascii="Arial" w:hAnsi="Arial" w:cs="Arial"/>
          <w:color w:val="auto"/>
        </w:rPr>
        <w:t xml:space="preserve">. </w:t>
      </w:r>
      <w:r w:rsidR="00EE32E0" w:rsidRPr="00F0151C">
        <w:rPr>
          <w:rFonts w:ascii="Arial" w:hAnsi="Arial" w:cs="Arial"/>
          <w:color w:val="auto"/>
        </w:rPr>
        <w:t xml:space="preserve">W jednostce przyjęto zasadę ewidencjonowania tych operacji w momencie </w:t>
      </w:r>
      <w:r w:rsidR="00F02348" w:rsidRPr="00F0151C">
        <w:rPr>
          <w:rFonts w:ascii="Arial" w:hAnsi="Arial" w:cs="Arial"/>
          <w:color w:val="auto"/>
        </w:rPr>
        <w:t xml:space="preserve">otrzymania od Kancelarii Prawniczej pisma </w:t>
      </w:r>
      <w:r w:rsidR="00EE32E0" w:rsidRPr="00F0151C">
        <w:rPr>
          <w:rFonts w:ascii="Arial" w:hAnsi="Arial" w:cs="Arial"/>
          <w:color w:val="auto"/>
        </w:rPr>
        <w:t xml:space="preserve"> </w:t>
      </w:r>
      <w:r w:rsidR="00F02348" w:rsidRPr="00F0151C">
        <w:rPr>
          <w:rFonts w:ascii="Arial" w:hAnsi="Arial" w:cs="Arial"/>
          <w:color w:val="auto"/>
        </w:rPr>
        <w:t xml:space="preserve">z prośbą o przelanie na konto komornika sądowego zaliczki </w:t>
      </w:r>
      <w:r w:rsidR="00EE32E0" w:rsidRPr="00F0151C">
        <w:rPr>
          <w:rFonts w:ascii="Arial" w:hAnsi="Arial" w:cs="Arial"/>
          <w:color w:val="auto"/>
        </w:rPr>
        <w:t xml:space="preserve">zapisem po stronie Wn konta 761 </w:t>
      </w:r>
      <w:r w:rsidR="00EE32E0" w:rsidRPr="00F0151C">
        <w:rPr>
          <w:rFonts w:ascii="Arial" w:hAnsi="Arial" w:cs="Arial"/>
          <w:i/>
          <w:color w:val="auto"/>
        </w:rPr>
        <w:t>Pozostałe koszty operacyjne</w:t>
      </w:r>
      <w:r w:rsidR="00E85E5A" w:rsidRPr="00F0151C">
        <w:rPr>
          <w:rFonts w:ascii="Arial" w:hAnsi="Arial" w:cs="Arial"/>
          <w:i/>
          <w:color w:val="auto"/>
        </w:rPr>
        <w:t xml:space="preserve">, </w:t>
      </w:r>
      <w:r w:rsidR="00E85E5A" w:rsidRPr="00F0151C">
        <w:rPr>
          <w:rFonts w:ascii="Arial" w:hAnsi="Arial" w:cs="Arial"/>
          <w:iCs/>
          <w:color w:val="auto"/>
        </w:rPr>
        <w:t>a po MA konta 300</w:t>
      </w:r>
      <w:r w:rsidR="00E85E5A" w:rsidRPr="00F0151C">
        <w:rPr>
          <w:rFonts w:ascii="Arial" w:hAnsi="Arial" w:cs="Arial"/>
          <w:color w:val="auto"/>
        </w:rPr>
        <w:t xml:space="preserve"> </w:t>
      </w:r>
      <w:r w:rsidR="00E85E5A" w:rsidRPr="00F0151C">
        <w:rPr>
          <w:rFonts w:ascii="Arial" w:hAnsi="Arial" w:cs="Arial"/>
          <w:i/>
          <w:iCs/>
          <w:color w:val="auto"/>
        </w:rPr>
        <w:t>Rozliczenie zakupu</w:t>
      </w:r>
      <w:r w:rsidR="00E85E5A" w:rsidRPr="00F0151C">
        <w:rPr>
          <w:rFonts w:ascii="Arial" w:hAnsi="Arial" w:cs="Arial"/>
          <w:color w:val="auto"/>
        </w:rPr>
        <w:t xml:space="preserve"> oraz </w:t>
      </w:r>
      <w:r w:rsidR="00EE32E0" w:rsidRPr="00F0151C">
        <w:rPr>
          <w:rFonts w:ascii="Arial" w:hAnsi="Arial" w:cs="Arial"/>
          <w:color w:val="auto"/>
        </w:rPr>
        <w:t>po</w:t>
      </w:r>
      <w:r w:rsidR="00E85E5A" w:rsidRPr="00F0151C">
        <w:rPr>
          <w:rFonts w:ascii="Arial" w:hAnsi="Arial" w:cs="Arial"/>
          <w:color w:val="auto"/>
        </w:rPr>
        <w:t xml:space="preserve"> st</w:t>
      </w:r>
      <w:r w:rsidR="00676373" w:rsidRPr="00F0151C">
        <w:rPr>
          <w:rFonts w:ascii="Arial" w:hAnsi="Arial" w:cs="Arial"/>
          <w:color w:val="auto"/>
        </w:rPr>
        <w:t>ronie</w:t>
      </w:r>
      <w:r w:rsidR="00E85E5A" w:rsidRPr="00F0151C">
        <w:rPr>
          <w:rFonts w:ascii="Arial" w:hAnsi="Arial" w:cs="Arial"/>
          <w:color w:val="auto"/>
        </w:rPr>
        <w:t xml:space="preserve"> WN konta 300 i</w:t>
      </w:r>
      <w:r w:rsidR="00EE32E0" w:rsidRPr="00F0151C">
        <w:rPr>
          <w:rFonts w:ascii="Arial" w:hAnsi="Arial" w:cs="Arial"/>
          <w:color w:val="auto"/>
        </w:rPr>
        <w:t xml:space="preserve"> stronie Ma konta </w:t>
      </w:r>
      <w:r w:rsidR="00E85E5A" w:rsidRPr="00F0151C">
        <w:rPr>
          <w:rFonts w:ascii="Arial" w:hAnsi="Arial" w:cs="Arial"/>
          <w:color w:val="auto"/>
        </w:rPr>
        <w:t xml:space="preserve">201 </w:t>
      </w:r>
      <w:r w:rsidR="00E85E5A" w:rsidRPr="00F0151C">
        <w:rPr>
          <w:rFonts w:ascii="Arial" w:hAnsi="Arial" w:cs="Arial"/>
          <w:i/>
          <w:iCs/>
          <w:color w:val="auto"/>
        </w:rPr>
        <w:t xml:space="preserve">Rozrachunki z dostawcami i odbiorcami – zakup – komornik sądowy. </w:t>
      </w:r>
      <w:r w:rsidR="00E85E5A" w:rsidRPr="00F0151C">
        <w:rPr>
          <w:rFonts w:ascii="Arial" w:hAnsi="Arial" w:cs="Arial"/>
          <w:color w:val="auto"/>
        </w:rPr>
        <w:t>Zapłatę zaliczki ujmuje się w księgach rachunkowych zapisem WN konta 201 oraz Ma konta 131</w:t>
      </w:r>
      <w:r w:rsidRPr="00F0151C">
        <w:rPr>
          <w:rFonts w:ascii="Arial" w:hAnsi="Arial" w:cs="Arial"/>
          <w:color w:val="auto"/>
        </w:rPr>
        <w:t>-005</w:t>
      </w:r>
      <w:r w:rsidR="00EE32E0" w:rsidRPr="00F0151C">
        <w:rPr>
          <w:rFonts w:ascii="Arial" w:hAnsi="Arial" w:cs="Arial"/>
          <w:color w:val="auto"/>
        </w:rPr>
        <w:t xml:space="preserve"> </w:t>
      </w:r>
      <w:r w:rsidR="00EE32E0" w:rsidRPr="00F0151C">
        <w:rPr>
          <w:rFonts w:ascii="Arial" w:hAnsi="Arial" w:cs="Arial"/>
          <w:i/>
          <w:color w:val="auto"/>
        </w:rPr>
        <w:t>Rachunek bieżący –</w:t>
      </w:r>
      <w:r w:rsidR="00E85E5A" w:rsidRPr="00F0151C">
        <w:rPr>
          <w:rFonts w:ascii="Arial" w:hAnsi="Arial" w:cs="Arial"/>
          <w:i/>
          <w:color w:val="auto"/>
        </w:rPr>
        <w:t>rozliczenie z tytułu zakupu.</w:t>
      </w:r>
      <w:r w:rsidR="00EE32E0" w:rsidRPr="00F0151C">
        <w:rPr>
          <w:rFonts w:ascii="Arial" w:hAnsi="Arial" w:cs="Arial"/>
          <w:color w:val="auto"/>
        </w:rPr>
        <w:t xml:space="preserve"> </w:t>
      </w:r>
      <w:r w:rsidR="00E85E5A" w:rsidRPr="00F0151C">
        <w:rPr>
          <w:rFonts w:ascii="Arial" w:hAnsi="Arial" w:cs="Arial"/>
          <w:color w:val="auto"/>
        </w:rPr>
        <w:t>N</w:t>
      </w:r>
      <w:r w:rsidR="00EE32E0" w:rsidRPr="00F0151C">
        <w:rPr>
          <w:rFonts w:ascii="Arial" w:hAnsi="Arial" w:cs="Arial"/>
          <w:color w:val="auto"/>
        </w:rPr>
        <w:t>atomiast zwrot</w:t>
      </w:r>
      <w:r w:rsidRPr="00F0151C">
        <w:rPr>
          <w:rFonts w:ascii="Arial" w:hAnsi="Arial" w:cs="Arial"/>
          <w:color w:val="auto"/>
        </w:rPr>
        <w:t xml:space="preserve"> </w:t>
      </w:r>
      <w:r w:rsidR="00EE32E0" w:rsidRPr="00F0151C">
        <w:rPr>
          <w:rFonts w:ascii="Arial" w:hAnsi="Arial" w:cs="Arial"/>
          <w:color w:val="auto"/>
        </w:rPr>
        <w:t xml:space="preserve">zaliczki od komornika </w:t>
      </w:r>
      <w:r w:rsidRPr="00F0151C">
        <w:rPr>
          <w:rFonts w:ascii="Arial" w:hAnsi="Arial" w:cs="Arial"/>
          <w:color w:val="auto"/>
        </w:rPr>
        <w:t xml:space="preserve">ujmuje się w księgach rachunkowych </w:t>
      </w:r>
      <w:r w:rsidR="00EE32E0" w:rsidRPr="00F0151C">
        <w:rPr>
          <w:rFonts w:ascii="Arial" w:hAnsi="Arial" w:cs="Arial"/>
          <w:color w:val="auto"/>
        </w:rPr>
        <w:t>zapisem po stronie Wn konta 131</w:t>
      </w:r>
      <w:r w:rsidRPr="00F0151C">
        <w:rPr>
          <w:rFonts w:ascii="Arial" w:hAnsi="Arial" w:cs="Arial"/>
          <w:color w:val="auto"/>
        </w:rPr>
        <w:t>-005</w:t>
      </w:r>
      <w:r w:rsidR="00EE32E0" w:rsidRPr="00F0151C">
        <w:rPr>
          <w:rFonts w:ascii="Arial" w:hAnsi="Arial" w:cs="Arial"/>
          <w:color w:val="auto"/>
        </w:rPr>
        <w:t xml:space="preserve"> oraz po stronie Ma konta 7</w:t>
      </w:r>
      <w:r w:rsidRPr="00F0151C">
        <w:rPr>
          <w:rFonts w:ascii="Arial" w:hAnsi="Arial" w:cs="Arial"/>
          <w:color w:val="auto"/>
        </w:rPr>
        <w:t xml:space="preserve">60 </w:t>
      </w:r>
      <w:r w:rsidRPr="00F0151C">
        <w:rPr>
          <w:rFonts w:ascii="Arial" w:hAnsi="Arial" w:cs="Arial"/>
          <w:i/>
          <w:iCs/>
          <w:color w:val="auto"/>
        </w:rPr>
        <w:t>Pozostałe przychody operacyjne</w:t>
      </w:r>
      <w:r w:rsidR="00EE32E0" w:rsidRPr="00F0151C">
        <w:rPr>
          <w:rFonts w:ascii="Arial" w:hAnsi="Arial" w:cs="Arial"/>
          <w:color w:val="auto"/>
        </w:rPr>
        <w:t xml:space="preserve">. </w:t>
      </w:r>
      <w:r w:rsidR="008966ED" w:rsidRPr="00F0151C">
        <w:rPr>
          <w:rFonts w:ascii="Arial" w:hAnsi="Arial" w:cs="Arial"/>
          <w:color w:val="auto"/>
        </w:rPr>
        <w:t xml:space="preserve">Jak stanowi art. 5 ust. 1 ustawy z dnia 28.02.2018 r. o kosztach komorniczych (DZ.U </w:t>
      </w:r>
      <w:proofErr w:type="spellStart"/>
      <w:r w:rsidR="008966ED" w:rsidRPr="00F0151C">
        <w:rPr>
          <w:rFonts w:ascii="Arial" w:hAnsi="Arial" w:cs="Arial"/>
          <w:color w:val="auto"/>
        </w:rPr>
        <w:t>poz</w:t>
      </w:r>
      <w:proofErr w:type="spellEnd"/>
      <w:r w:rsidR="008966ED" w:rsidRPr="00F0151C">
        <w:rPr>
          <w:rFonts w:ascii="Arial" w:hAnsi="Arial" w:cs="Arial"/>
          <w:color w:val="auto"/>
        </w:rPr>
        <w:t xml:space="preserve"> 770 ze zm.) dalej </w:t>
      </w:r>
      <w:proofErr w:type="spellStart"/>
      <w:r w:rsidR="008966ED" w:rsidRPr="00F0151C">
        <w:rPr>
          <w:rFonts w:ascii="Arial" w:hAnsi="Arial" w:cs="Arial"/>
          <w:color w:val="auto"/>
        </w:rPr>
        <w:t>u.k.k</w:t>
      </w:r>
      <w:proofErr w:type="spellEnd"/>
      <w:r w:rsidR="008966ED" w:rsidRPr="00F0151C">
        <w:rPr>
          <w:rFonts w:ascii="Arial" w:hAnsi="Arial" w:cs="Arial"/>
          <w:color w:val="auto"/>
        </w:rPr>
        <w:t>. komornikowi przysługuje zwrot niezbędnych wydatków poniesionych w</w:t>
      </w:r>
      <w:r w:rsidR="00893845" w:rsidRPr="00F0151C">
        <w:rPr>
          <w:rFonts w:ascii="Arial" w:hAnsi="Arial" w:cs="Arial"/>
          <w:color w:val="auto"/>
        </w:rPr>
        <w:t> </w:t>
      </w:r>
      <w:r w:rsidR="008966ED" w:rsidRPr="00F0151C">
        <w:rPr>
          <w:rFonts w:ascii="Arial" w:hAnsi="Arial" w:cs="Arial"/>
          <w:color w:val="auto"/>
        </w:rPr>
        <w:t xml:space="preserve">toku postepowania albo w trakcie innych czynności wyłącznie w zakresie określoną ustawą. Wydatki te wymienia </w:t>
      </w:r>
      <w:r w:rsidR="00676373" w:rsidRPr="00F0151C">
        <w:rPr>
          <w:rFonts w:ascii="Arial" w:hAnsi="Arial" w:cs="Arial"/>
          <w:color w:val="auto"/>
        </w:rPr>
        <w:t>a</w:t>
      </w:r>
      <w:r w:rsidR="008966ED" w:rsidRPr="00F0151C">
        <w:rPr>
          <w:rFonts w:ascii="Arial" w:hAnsi="Arial" w:cs="Arial"/>
          <w:color w:val="auto"/>
        </w:rPr>
        <w:t xml:space="preserve">rt. 6 </w:t>
      </w:r>
      <w:proofErr w:type="spellStart"/>
      <w:r w:rsidR="008966ED" w:rsidRPr="00F0151C">
        <w:rPr>
          <w:rFonts w:ascii="Arial" w:hAnsi="Arial" w:cs="Arial"/>
          <w:color w:val="auto"/>
        </w:rPr>
        <w:t>u.k.k</w:t>
      </w:r>
      <w:proofErr w:type="spellEnd"/>
      <w:r w:rsidR="008966ED" w:rsidRPr="00F0151C">
        <w:rPr>
          <w:rFonts w:ascii="Arial" w:hAnsi="Arial" w:cs="Arial"/>
          <w:color w:val="auto"/>
        </w:rPr>
        <w:t xml:space="preserve">. </w:t>
      </w:r>
      <w:r w:rsidR="00EE32E0" w:rsidRPr="00F0151C">
        <w:rPr>
          <w:rFonts w:ascii="Arial" w:hAnsi="Arial" w:cs="Arial"/>
          <w:color w:val="auto"/>
        </w:rPr>
        <w:t>W</w:t>
      </w:r>
      <w:r w:rsidR="008966ED" w:rsidRPr="00F0151C">
        <w:rPr>
          <w:rFonts w:ascii="Arial" w:hAnsi="Arial" w:cs="Arial"/>
          <w:color w:val="auto"/>
        </w:rPr>
        <w:t> </w:t>
      </w:r>
      <w:r w:rsidR="00EE32E0" w:rsidRPr="00F0151C">
        <w:rPr>
          <w:rFonts w:ascii="Arial" w:hAnsi="Arial" w:cs="Arial"/>
          <w:color w:val="auto"/>
        </w:rPr>
        <w:t xml:space="preserve">przypadku egzekucji komorniczej art. </w:t>
      </w:r>
      <w:r w:rsidR="00CC3A00" w:rsidRPr="00F0151C">
        <w:rPr>
          <w:rFonts w:ascii="Arial" w:hAnsi="Arial" w:cs="Arial"/>
          <w:color w:val="auto"/>
        </w:rPr>
        <w:t>7</w:t>
      </w:r>
      <w:r w:rsidR="00902F5D" w:rsidRPr="00F0151C">
        <w:rPr>
          <w:rFonts w:ascii="Arial" w:hAnsi="Arial" w:cs="Arial"/>
          <w:color w:val="auto"/>
        </w:rPr>
        <w:t xml:space="preserve"> </w:t>
      </w:r>
      <w:r w:rsidR="00DB044B" w:rsidRPr="00F0151C">
        <w:rPr>
          <w:rFonts w:ascii="Arial" w:hAnsi="Arial" w:cs="Arial"/>
          <w:color w:val="auto"/>
        </w:rPr>
        <w:t>us</w:t>
      </w:r>
      <w:r w:rsidR="00902F5D" w:rsidRPr="00F0151C">
        <w:rPr>
          <w:rFonts w:ascii="Arial" w:hAnsi="Arial" w:cs="Arial"/>
          <w:color w:val="auto"/>
        </w:rPr>
        <w:t>t</w:t>
      </w:r>
      <w:r w:rsidR="00DB044B" w:rsidRPr="00F0151C">
        <w:rPr>
          <w:rFonts w:ascii="Arial" w:hAnsi="Arial" w:cs="Arial"/>
          <w:color w:val="auto"/>
        </w:rPr>
        <w:t>.</w:t>
      </w:r>
      <w:r w:rsidR="00902F5D" w:rsidRPr="00F0151C">
        <w:rPr>
          <w:rFonts w:ascii="Arial" w:hAnsi="Arial" w:cs="Arial"/>
          <w:color w:val="auto"/>
        </w:rPr>
        <w:t xml:space="preserve"> 1</w:t>
      </w:r>
      <w:r w:rsidR="008966ED" w:rsidRPr="00F0151C">
        <w:rPr>
          <w:rFonts w:ascii="Arial" w:hAnsi="Arial" w:cs="Arial"/>
          <w:color w:val="auto"/>
        </w:rPr>
        <w:t xml:space="preserve"> </w:t>
      </w:r>
      <w:proofErr w:type="spellStart"/>
      <w:r w:rsidR="008966ED" w:rsidRPr="00F0151C">
        <w:rPr>
          <w:rFonts w:ascii="Arial" w:hAnsi="Arial" w:cs="Arial"/>
          <w:color w:val="auto"/>
        </w:rPr>
        <w:t>u.k.k</w:t>
      </w:r>
      <w:proofErr w:type="spellEnd"/>
      <w:r w:rsidR="008966ED" w:rsidRPr="00F0151C">
        <w:rPr>
          <w:rFonts w:ascii="Arial" w:hAnsi="Arial" w:cs="Arial"/>
          <w:color w:val="auto"/>
        </w:rPr>
        <w:t>.</w:t>
      </w:r>
      <w:r w:rsidR="00EE32E0" w:rsidRPr="00F0151C">
        <w:rPr>
          <w:rFonts w:ascii="Arial" w:hAnsi="Arial" w:cs="Arial"/>
          <w:color w:val="auto"/>
        </w:rPr>
        <w:t xml:space="preserve"> </w:t>
      </w:r>
      <w:r w:rsidR="00902F5D" w:rsidRPr="00F0151C">
        <w:rPr>
          <w:rFonts w:ascii="Arial" w:hAnsi="Arial" w:cs="Arial"/>
          <w:color w:val="auto"/>
        </w:rPr>
        <w:t xml:space="preserve">wskazuje, że jeżeli czynność komornika powoduje wydatki, </w:t>
      </w:r>
      <w:r w:rsidR="00EE32E0" w:rsidRPr="00F0151C">
        <w:rPr>
          <w:rFonts w:ascii="Arial" w:hAnsi="Arial" w:cs="Arial"/>
          <w:color w:val="auto"/>
        </w:rPr>
        <w:t>komornik</w:t>
      </w:r>
      <w:r w:rsidR="00902F5D" w:rsidRPr="00F0151C">
        <w:rPr>
          <w:rFonts w:ascii="Arial" w:hAnsi="Arial" w:cs="Arial"/>
          <w:color w:val="auto"/>
        </w:rPr>
        <w:t xml:space="preserve"> uzależnia dokonanie tej czynności od uiszczenia zaliczki przez stronę, która wnosi o dokonanie czynności</w:t>
      </w:r>
      <w:r w:rsidR="00EE32E0" w:rsidRPr="00F0151C">
        <w:rPr>
          <w:rFonts w:ascii="Arial" w:hAnsi="Arial" w:cs="Arial"/>
          <w:color w:val="auto"/>
        </w:rPr>
        <w:t>.</w:t>
      </w:r>
      <w:r w:rsidR="008966ED" w:rsidRPr="00F0151C">
        <w:rPr>
          <w:rFonts w:ascii="Arial" w:hAnsi="Arial" w:cs="Arial"/>
          <w:color w:val="auto"/>
        </w:rPr>
        <w:t xml:space="preserve"> W świetle przytoczonych przepisów wydatki, o których mowa w art. 6 </w:t>
      </w:r>
      <w:proofErr w:type="spellStart"/>
      <w:r w:rsidR="008966ED" w:rsidRPr="00F0151C">
        <w:rPr>
          <w:rFonts w:ascii="Arial" w:hAnsi="Arial" w:cs="Arial"/>
          <w:color w:val="auto"/>
        </w:rPr>
        <w:t>u.k.k</w:t>
      </w:r>
      <w:proofErr w:type="spellEnd"/>
      <w:r w:rsidR="008966ED" w:rsidRPr="00F0151C">
        <w:rPr>
          <w:rFonts w:ascii="Arial" w:hAnsi="Arial" w:cs="Arial"/>
          <w:color w:val="auto"/>
        </w:rPr>
        <w:t>, nie s</w:t>
      </w:r>
      <w:r w:rsidR="00893845" w:rsidRPr="00F0151C">
        <w:rPr>
          <w:rFonts w:ascii="Arial" w:hAnsi="Arial" w:cs="Arial"/>
          <w:color w:val="auto"/>
        </w:rPr>
        <w:t>ą</w:t>
      </w:r>
      <w:r w:rsidR="008966ED" w:rsidRPr="00F0151C">
        <w:rPr>
          <w:rFonts w:ascii="Arial" w:hAnsi="Arial" w:cs="Arial"/>
          <w:color w:val="auto"/>
        </w:rPr>
        <w:t xml:space="preserve"> zaliczkami, jednak zaliczkami są kwoty odpowiadające tym wydatkom, do których uiszczenia wzywa komornik na podstawie art. 7 ust. 1 </w:t>
      </w:r>
      <w:proofErr w:type="spellStart"/>
      <w:r w:rsidR="008966ED" w:rsidRPr="00F0151C">
        <w:rPr>
          <w:rFonts w:ascii="Arial" w:hAnsi="Arial" w:cs="Arial"/>
          <w:color w:val="auto"/>
        </w:rPr>
        <w:t>u.k.k</w:t>
      </w:r>
      <w:proofErr w:type="spellEnd"/>
      <w:r w:rsidR="008966ED" w:rsidRPr="00F0151C">
        <w:rPr>
          <w:rFonts w:ascii="Arial" w:hAnsi="Arial" w:cs="Arial"/>
          <w:color w:val="auto"/>
        </w:rPr>
        <w:t xml:space="preserve">. </w:t>
      </w:r>
      <w:r w:rsidR="00EE32E0" w:rsidRPr="00F0151C">
        <w:rPr>
          <w:rFonts w:ascii="Arial" w:hAnsi="Arial" w:cs="Arial"/>
          <w:color w:val="auto"/>
        </w:rPr>
        <w:t xml:space="preserve"> Komornik zobowiązany jest rozliczyć taką zaliczkę w terminie miesiąca od dnia po</w:t>
      </w:r>
      <w:r w:rsidR="00DB044B" w:rsidRPr="00F0151C">
        <w:rPr>
          <w:rFonts w:ascii="Arial" w:hAnsi="Arial" w:cs="Arial"/>
          <w:color w:val="auto"/>
        </w:rPr>
        <w:t>niesienia</w:t>
      </w:r>
      <w:r w:rsidR="00EE32E0" w:rsidRPr="00F0151C">
        <w:rPr>
          <w:rFonts w:ascii="Arial" w:hAnsi="Arial" w:cs="Arial"/>
          <w:color w:val="auto"/>
        </w:rPr>
        <w:t xml:space="preserve"> wydatków, na które była przeznaczona i</w:t>
      </w:r>
      <w:r w:rsidR="009C42D7" w:rsidRPr="00F0151C">
        <w:rPr>
          <w:rFonts w:ascii="Arial" w:hAnsi="Arial" w:cs="Arial"/>
          <w:color w:val="auto"/>
        </w:rPr>
        <w:t> </w:t>
      </w:r>
      <w:r w:rsidR="00EE32E0" w:rsidRPr="00F0151C">
        <w:rPr>
          <w:rFonts w:ascii="Arial" w:hAnsi="Arial" w:cs="Arial"/>
          <w:color w:val="auto"/>
        </w:rPr>
        <w:t>zwrócić jej niewykorzystaną część</w:t>
      </w:r>
      <w:r w:rsidR="00DB044B" w:rsidRPr="00F0151C">
        <w:rPr>
          <w:rFonts w:ascii="Arial" w:hAnsi="Arial" w:cs="Arial"/>
          <w:color w:val="auto"/>
        </w:rPr>
        <w:t>, a jeżeli opłacona zaliczkowo czynność nie została dokonana, zaliczka podlega zwrotowi w terminie 3 miesięcy od dnia jej pobrania</w:t>
      </w:r>
      <w:r w:rsidR="00EE32E0" w:rsidRPr="00F0151C">
        <w:rPr>
          <w:rFonts w:ascii="Arial" w:hAnsi="Arial" w:cs="Arial"/>
          <w:color w:val="auto"/>
        </w:rPr>
        <w:t xml:space="preserve"> (art. </w:t>
      </w:r>
      <w:r w:rsidR="00DB044B" w:rsidRPr="00F0151C">
        <w:rPr>
          <w:rFonts w:ascii="Arial" w:hAnsi="Arial" w:cs="Arial"/>
          <w:color w:val="auto"/>
        </w:rPr>
        <w:t>16</w:t>
      </w:r>
      <w:r w:rsidR="00EE32E0" w:rsidRPr="00F0151C">
        <w:rPr>
          <w:rFonts w:ascii="Arial" w:hAnsi="Arial" w:cs="Arial"/>
          <w:color w:val="auto"/>
        </w:rPr>
        <w:t xml:space="preserve"> ust. </w:t>
      </w:r>
      <w:r w:rsidR="00DB044B" w:rsidRPr="00F0151C">
        <w:rPr>
          <w:rFonts w:ascii="Arial" w:hAnsi="Arial" w:cs="Arial"/>
          <w:color w:val="auto"/>
        </w:rPr>
        <w:t>1</w:t>
      </w:r>
      <w:r w:rsidR="00EE32E0" w:rsidRPr="00F0151C">
        <w:rPr>
          <w:rFonts w:ascii="Arial" w:hAnsi="Arial" w:cs="Arial"/>
          <w:color w:val="auto"/>
        </w:rPr>
        <w:t xml:space="preserve"> ww. ustawy). Z</w:t>
      </w:r>
      <w:r w:rsidR="00DB044B" w:rsidRPr="00F0151C">
        <w:rPr>
          <w:rFonts w:ascii="Arial" w:hAnsi="Arial" w:cs="Arial"/>
          <w:color w:val="auto"/>
        </w:rPr>
        <w:t>atem z</w:t>
      </w:r>
      <w:r w:rsidR="00EE32E0" w:rsidRPr="00F0151C">
        <w:rPr>
          <w:rFonts w:ascii="Arial" w:hAnsi="Arial" w:cs="Arial"/>
          <w:color w:val="auto"/>
        </w:rPr>
        <w:t xml:space="preserve"> przepisów ustawy wynika, że </w:t>
      </w:r>
      <w:r w:rsidR="008966ED" w:rsidRPr="00F0151C">
        <w:rPr>
          <w:rFonts w:ascii="Arial" w:hAnsi="Arial" w:cs="Arial"/>
          <w:color w:val="auto"/>
        </w:rPr>
        <w:t>kwoty, do których wzywa w</w:t>
      </w:r>
      <w:r w:rsidR="001B0700" w:rsidRPr="00F0151C">
        <w:rPr>
          <w:rFonts w:ascii="Arial" w:hAnsi="Arial" w:cs="Arial"/>
          <w:color w:val="auto"/>
        </w:rPr>
        <w:t> </w:t>
      </w:r>
      <w:r w:rsidR="008966ED" w:rsidRPr="00F0151C">
        <w:rPr>
          <w:rFonts w:ascii="Arial" w:hAnsi="Arial" w:cs="Arial"/>
          <w:color w:val="auto"/>
        </w:rPr>
        <w:t xml:space="preserve">przedstawionej sytuacji komornik, mające charakter </w:t>
      </w:r>
      <w:r w:rsidR="00EE32E0" w:rsidRPr="00F0151C">
        <w:rPr>
          <w:rFonts w:ascii="Arial" w:hAnsi="Arial" w:cs="Arial"/>
          <w:color w:val="auto"/>
        </w:rPr>
        <w:t>zaliczki w momencie ich wpłaty nie mają charakteru definitywnego</w:t>
      </w:r>
      <w:r w:rsidR="008966ED" w:rsidRPr="00F0151C">
        <w:rPr>
          <w:rFonts w:ascii="Arial" w:hAnsi="Arial" w:cs="Arial"/>
          <w:color w:val="auto"/>
        </w:rPr>
        <w:t>,</w:t>
      </w:r>
      <w:r w:rsidR="00EE32E0" w:rsidRPr="00F0151C">
        <w:rPr>
          <w:rFonts w:ascii="Arial" w:hAnsi="Arial" w:cs="Arial"/>
          <w:color w:val="auto"/>
        </w:rPr>
        <w:t xml:space="preserve"> gdyż mogą zostać zwrócone. </w:t>
      </w:r>
      <w:r w:rsidR="008966ED" w:rsidRPr="00F0151C">
        <w:rPr>
          <w:rFonts w:ascii="Arial" w:hAnsi="Arial" w:cs="Arial"/>
          <w:color w:val="auto"/>
        </w:rPr>
        <w:t xml:space="preserve">Nie jest zatem możliwe zaliczenie ich do kosztów w momencie zapłaty komornikowi, lecz dopiero po rozliczeniu </w:t>
      </w:r>
      <w:r w:rsidR="008966ED" w:rsidRPr="00F0151C">
        <w:rPr>
          <w:rFonts w:ascii="Arial" w:hAnsi="Arial" w:cs="Arial"/>
          <w:color w:val="auto"/>
        </w:rPr>
        <w:lastRenderedPageBreak/>
        <w:t xml:space="preserve">przez komornika wpłaconych mu kwot </w:t>
      </w:r>
      <w:r w:rsidR="00C87015" w:rsidRPr="00F0151C">
        <w:rPr>
          <w:rFonts w:ascii="Arial" w:hAnsi="Arial" w:cs="Arial"/>
          <w:color w:val="auto"/>
        </w:rPr>
        <w:t>(</w:t>
      </w:r>
      <w:r w:rsidR="008966ED" w:rsidRPr="00F0151C">
        <w:rPr>
          <w:rFonts w:ascii="Arial" w:hAnsi="Arial" w:cs="Arial"/>
          <w:color w:val="auto"/>
        </w:rPr>
        <w:t>np. po otrzymaniu od komornika</w:t>
      </w:r>
      <w:r w:rsidR="00C87015" w:rsidRPr="00F0151C">
        <w:rPr>
          <w:rFonts w:ascii="Arial" w:hAnsi="Arial" w:cs="Arial"/>
          <w:color w:val="auto"/>
        </w:rPr>
        <w:t xml:space="preserve">, </w:t>
      </w:r>
      <w:r w:rsidR="008966ED" w:rsidRPr="00F0151C">
        <w:rPr>
          <w:rFonts w:ascii="Arial" w:hAnsi="Arial" w:cs="Arial"/>
          <w:color w:val="auto"/>
        </w:rPr>
        <w:t xml:space="preserve"> zawierają</w:t>
      </w:r>
      <w:r w:rsidR="00C87015" w:rsidRPr="00F0151C">
        <w:rPr>
          <w:rFonts w:ascii="Arial" w:hAnsi="Arial" w:cs="Arial"/>
          <w:color w:val="auto"/>
        </w:rPr>
        <w:t>c</w:t>
      </w:r>
      <w:r w:rsidR="008966ED" w:rsidRPr="00F0151C">
        <w:rPr>
          <w:rFonts w:ascii="Arial" w:hAnsi="Arial" w:cs="Arial"/>
          <w:color w:val="auto"/>
        </w:rPr>
        <w:t>ego r</w:t>
      </w:r>
      <w:r w:rsidR="00C87015" w:rsidRPr="00F0151C">
        <w:rPr>
          <w:rFonts w:ascii="Arial" w:hAnsi="Arial" w:cs="Arial"/>
          <w:color w:val="auto"/>
        </w:rPr>
        <w:t>o</w:t>
      </w:r>
      <w:r w:rsidR="008966ED" w:rsidRPr="00F0151C">
        <w:rPr>
          <w:rFonts w:ascii="Arial" w:hAnsi="Arial" w:cs="Arial"/>
          <w:color w:val="auto"/>
        </w:rPr>
        <w:t xml:space="preserve">zliczenie kosztów </w:t>
      </w:r>
      <w:r w:rsidR="00C87015" w:rsidRPr="00F0151C">
        <w:rPr>
          <w:rFonts w:ascii="Arial" w:hAnsi="Arial" w:cs="Arial"/>
          <w:color w:val="auto"/>
        </w:rPr>
        <w:t>postanowienia o umorzeniu postępowania egzekucyjnego z powodu jego bezskuteczności). Ponadto j</w:t>
      </w:r>
      <w:r w:rsidR="00EE32E0" w:rsidRPr="00F0151C">
        <w:rPr>
          <w:rFonts w:ascii="Arial" w:hAnsi="Arial" w:cs="Arial"/>
          <w:color w:val="auto"/>
        </w:rPr>
        <w:t>ak wynika z uregulowań Kodeksu postępowania cywilnego (art.</w:t>
      </w:r>
      <w:r w:rsidR="004A7B7D" w:rsidRPr="00F0151C">
        <w:rPr>
          <w:rFonts w:ascii="Arial" w:hAnsi="Arial" w:cs="Arial"/>
          <w:color w:val="auto"/>
        </w:rPr>
        <w:t> </w:t>
      </w:r>
      <w:r w:rsidR="00EE32E0" w:rsidRPr="00F0151C">
        <w:rPr>
          <w:rFonts w:ascii="Arial" w:hAnsi="Arial" w:cs="Arial"/>
          <w:color w:val="auto"/>
        </w:rPr>
        <w:t xml:space="preserve">770 </w:t>
      </w:r>
      <w:proofErr w:type="spellStart"/>
      <w:r w:rsidR="00EE32E0" w:rsidRPr="00F0151C">
        <w:rPr>
          <w:rFonts w:ascii="Arial" w:hAnsi="Arial" w:cs="Arial"/>
          <w:color w:val="auto"/>
        </w:rPr>
        <w:t>k.p.c</w:t>
      </w:r>
      <w:proofErr w:type="spellEnd"/>
      <w:r w:rsidR="00EE32E0" w:rsidRPr="00F0151C">
        <w:rPr>
          <w:rFonts w:ascii="Arial" w:hAnsi="Arial" w:cs="Arial"/>
          <w:color w:val="auto"/>
        </w:rPr>
        <w:t>) dłużnik zwraca wierzycielowi koszty niezbędne do celowego przeprowadzenia egzekucji, przy czym koszty te ściąga się wraz z egzekwowanym świadczeniem. Zatem koszty te, co do zasady, ma ponieść dłużnik. Tym samym kwota zaliczki wpłacona komornikowi powinna zostać ujęta w</w:t>
      </w:r>
      <w:r w:rsidR="00DB044B" w:rsidRPr="00F0151C">
        <w:rPr>
          <w:rFonts w:ascii="Arial" w:hAnsi="Arial" w:cs="Arial"/>
          <w:color w:val="auto"/>
        </w:rPr>
        <w:t> </w:t>
      </w:r>
      <w:r w:rsidR="00EE32E0" w:rsidRPr="00F0151C">
        <w:rPr>
          <w:rFonts w:ascii="Arial" w:hAnsi="Arial" w:cs="Arial"/>
          <w:color w:val="auto"/>
        </w:rPr>
        <w:t xml:space="preserve">księgach rachunkowych wierzyciela jako rozrachunki, na koncie 240 </w:t>
      </w:r>
      <w:r w:rsidR="00EE32E0" w:rsidRPr="00F0151C">
        <w:rPr>
          <w:rFonts w:ascii="Arial" w:hAnsi="Arial" w:cs="Arial"/>
          <w:i/>
          <w:color w:val="auto"/>
        </w:rPr>
        <w:t>Pozostałe rozrachunki (z analityką: rozrachunki z komornikiem).</w:t>
      </w:r>
      <w:r w:rsidR="00EE32E0" w:rsidRPr="00F0151C">
        <w:rPr>
          <w:rFonts w:ascii="Arial" w:hAnsi="Arial" w:cs="Arial"/>
          <w:color w:val="auto"/>
        </w:rPr>
        <w:t xml:space="preserve"> </w:t>
      </w:r>
    </w:p>
    <w:p w14:paraId="0D50A3F8" w14:textId="0A0B9A90" w:rsidR="000E137A" w:rsidRPr="00F0151C" w:rsidRDefault="00EE32E0" w:rsidP="001F5B9B">
      <w:pPr>
        <w:pStyle w:val="Standard"/>
        <w:widowControl w:val="0"/>
        <w:tabs>
          <w:tab w:val="left" w:pos="-3828"/>
          <w:tab w:val="left" w:pos="-2410"/>
          <w:tab w:val="left" w:pos="504"/>
        </w:tabs>
        <w:overflowPunct/>
        <w:spacing w:after="0" w:line="360" w:lineRule="auto"/>
        <w:jc w:val="both"/>
        <w:rPr>
          <w:rFonts w:ascii="Arial" w:hAnsi="Arial" w:cs="Arial"/>
          <w:color w:val="auto"/>
          <w:spacing w:val="-2"/>
        </w:rPr>
      </w:pPr>
      <w:r w:rsidRPr="00F0151C">
        <w:rPr>
          <w:rFonts w:ascii="Arial" w:hAnsi="Arial" w:cs="Arial"/>
          <w:color w:val="auto"/>
        </w:rPr>
        <w:t>Powyższe skutkuje brakiem pełnej i właściwej kontroli stanu rozrachunków z komornikami w</w:t>
      </w:r>
      <w:r w:rsidR="00CA3FB9" w:rsidRPr="00F0151C">
        <w:rPr>
          <w:rFonts w:ascii="Arial" w:hAnsi="Arial" w:cs="Arial"/>
          <w:color w:val="auto"/>
        </w:rPr>
        <w:t> </w:t>
      </w:r>
      <w:r w:rsidRPr="00F0151C">
        <w:rPr>
          <w:rFonts w:ascii="Arial" w:hAnsi="Arial" w:cs="Arial"/>
          <w:color w:val="auto"/>
        </w:rPr>
        <w:t xml:space="preserve">oraz wiąże się z brakiem możliwości sprawdzenia prawidłowości sporządzenia sprawozdania Rb-N w tym zakresie. </w:t>
      </w:r>
      <w:r w:rsidR="000E137A" w:rsidRPr="00F0151C">
        <w:rPr>
          <w:rFonts w:ascii="Arial" w:eastAsia="Times New Roman" w:hAnsi="Arial" w:cs="Arial"/>
          <w:b/>
          <w:bCs/>
          <w:color w:val="auto"/>
          <w:spacing w:val="-2"/>
        </w:rPr>
        <w:t>Powyższe stanowiło wniosek pokontrolny w poprzedniej kontroli.</w:t>
      </w:r>
    </w:p>
    <w:p w14:paraId="660ADD5D" w14:textId="3D9D4DFD" w:rsidR="00416C1C" w:rsidRPr="00F0151C" w:rsidRDefault="00EE32E0" w:rsidP="00176E52">
      <w:pPr>
        <w:pStyle w:val="Standard"/>
        <w:widowControl w:val="0"/>
        <w:numPr>
          <w:ilvl w:val="0"/>
          <w:numId w:val="13"/>
        </w:numPr>
        <w:tabs>
          <w:tab w:val="left" w:pos="-2410"/>
          <w:tab w:val="left" w:pos="426"/>
        </w:tabs>
        <w:overflowPunct/>
        <w:spacing w:after="0" w:line="360" w:lineRule="auto"/>
        <w:ind w:left="0" w:firstLine="0"/>
        <w:jc w:val="both"/>
        <w:rPr>
          <w:rFonts w:ascii="Arial" w:eastAsia="Times New Roman" w:hAnsi="Arial" w:cs="Arial"/>
          <w:color w:val="auto"/>
          <w:spacing w:val="-2"/>
        </w:rPr>
      </w:pPr>
      <w:r w:rsidRPr="00F0151C">
        <w:rPr>
          <w:rFonts w:ascii="Arial" w:eastAsia="Times New Roman" w:hAnsi="Arial" w:cs="Arial"/>
          <w:color w:val="auto"/>
          <w:spacing w:val="-2"/>
        </w:rPr>
        <w:t>Ujęcie operacji gospodarczych na niewłaściwych kontach księgowych, tj. niezgodnie z obowiązującą polityką rachunkowości, co dotyczyło</w:t>
      </w:r>
      <w:r w:rsidR="00416C1C" w:rsidRPr="00F0151C">
        <w:rPr>
          <w:rFonts w:ascii="Arial" w:eastAsia="Times New Roman" w:hAnsi="Arial" w:cs="Arial"/>
          <w:color w:val="auto"/>
          <w:spacing w:val="-2"/>
        </w:rPr>
        <w:t xml:space="preserve"> ujmowania na kocie </w:t>
      </w:r>
      <w:r w:rsidR="00416C1C" w:rsidRPr="00F0151C">
        <w:rPr>
          <w:rFonts w:ascii="Arial" w:hAnsi="Arial" w:cs="Arial"/>
          <w:color w:val="auto"/>
        </w:rPr>
        <w:t xml:space="preserve">234 </w:t>
      </w:r>
      <w:r w:rsidR="00416C1C" w:rsidRPr="00F0151C">
        <w:rPr>
          <w:rFonts w:ascii="Arial" w:hAnsi="Arial" w:cs="Arial"/>
          <w:i/>
          <w:iCs/>
          <w:color w:val="auto"/>
        </w:rPr>
        <w:t xml:space="preserve">Pozostałe rozrachunki z pracownikami </w:t>
      </w:r>
      <w:r w:rsidR="00EB22B8" w:rsidRPr="00F0151C">
        <w:rPr>
          <w:rFonts w:ascii="Arial" w:hAnsi="Arial" w:cs="Arial"/>
          <w:color w:val="auto"/>
        </w:rPr>
        <w:t>rozlicze</w:t>
      </w:r>
      <w:r w:rsidR="00416C1C" w:rsidRPr="00F0151C">
        <w:rPr>
          <w:rFonts w:ascii="Arial" w:hAnsi="Arial" w:cs="Arial"/>
          <w:color w:val="auto"/>
        </w:rPr>
        <w:t>ń</w:t>
      </w:r>
      <w:r w:rsidR="00EB22B8" w:rsidRPr="00F0151C">
        <w:rPr>
          <w:rFonts w:ascii="Arial" w:hAnsi="Arial" w:cs="Arial"/>
          <w:color w:val="auto"/>
        </w:rPr>
        <w:t xml:space="preserve"> z </w:t>
      </w:r>
      <w:r w:rsidRPr="00F0151C">
        <w:rPr>
          <w:rFonts w:ascii="Arial" w:hAnsi="Arial" w:cs="Arial"/>
          <w:color w:val="auto"/>
        </w:rPr>
        <w:t>był</w:t>
      </w:r>
      <w:r w:rsidR="00EB22B8" w:rsidRPr="00F0151C">
        <w:rPr>
          <w:rFonts w:ascii="Arial" w:hAnsi="Arial" w:cs="Arial"/>
          <w:color w:val="auto"/>
        </w:rPr>
        <w:t>ym</w:t>
      </w:r>
      <w:r w:rsidRPr="00F0151C">
        <w:rPr>
          <w:rFonts w:ascii="Arial" w:hAnsi="Arial" w:cs="Arial"/>
          <w:color w:val="auto"/>
        </w:rPr>
        <w:t xml:space="preserve"> pracownik</w:t>
      </w:r>
      <w:r w:rsidR="00EB22B8" w:rsidRPr="00F0151C">
        <w:rPr>
          <w:rFonts w:ascii="Arial" w:hAnsi="Arial" w:cs="Arial"/>
          <w:color w:val="auto"/>
        </w:rPr>
        <w:t xml:space="preserve">iem – emerytem z tytułu świadczeń </w:t>
      </w:r>
      <w:r w:rsidR="00416C1C" w:rsidRPr="00F0151C">
        <w:rPr>
          <w:rFonts w:ascii="Arial" w:hAnsi="Arial" w:cs="Arial"/>
          <w:color w:val="auto"/>
        </w:rPr>
        <w:t xml:space="preserve">wypłacanych </w:t>
      </w:r>
      <w:r w:rsidR="00EB22B8" w:rsidRPr="00F0151C">
        <w:rPr>
          <w:rFonts w:ascii="Arial" w:hAnsi="Arial" w:cs="Arial"/>
          <w:color w:val="auto"/>
        </w:rPr>
        <w:t>z Zakładowego Funduszu Świadczeń Socjalnych</w:t>
      </w:r>
      <w:r w:rsidR="00416C1C" w:rsidRPr="00F0151C">
        <w:rPr>
          <w:rFonts w:ascii="Arial" w:hAnsi="Arial" w:cs="Arial"/>
          <w:color w:val="auto"/>
        </w:rPr>
        <w:t xml:space="preserve">. </w:t>
      </w:r>
      <w:r w:rsidRPr="00F0151C">
        <w:rPr>
          <w:rFonts w:ascii="Arial" w:hAnsi="Arial" w:cs="Arial"/>
          <w:color w:val="auto"/>
        </w:rPr>
        <w:t>Z uwagi na fakt, ż</w:t>
      </w:r>
      <w:r w:rsidR="004F74DE">
        <w:rPr>
          <w:rFonts w:ascii="Arial" w:hAnsi="Arial" w:cs="Arial"/>
          <w:color w:val="auto"/>
        </w:rPr>
        <w:t>e</w:t>
      </w:r>
      <w:r w:rsidRPr="00F0151C">
        <w:rPr>
          <w:rFonts w:ascii="Arial" w:hAnsi="Arial" w:cs="Arial"/>
          <w:color w:val="auto"/>
        </w:rPr>
        <w:t xml:space="preserve"> rozrachunek następuje z osobą, z którą ustał stosunek pracy właściwym jest ujmowanie wpłat na koncie 240 </w:t>
      </w:r>
      <w:r w:rsidRPr="00F0151C">
        <w:rPr>
          <w:rFonts w:ascii="Arial" w:eastAsia="Times New Roman" w:hAnsi="Arial" w:cs="Arial"/>
          <w:i/>
          <w:color w:val="auto"/>
          <w:spacing w:val="-2"/>
        </w:rPr>
        <w:t>Pozostałe rozrachunki</w:t>
      </w:r>
      <w:r w:rsidR="00416C1C" w:rsidRPr="00F0151C">
        <w:rPr>
          <w:rFonts w:ascii="Arial" w:hAnsi="Arial" w:cs="Arial"/>
          <w:color w:val="auto"/>
        </w:rPr>
        <w:t xml:space="preserve">. </w:t>
      </w:r>
      <w:r w:rsidR="00416C1C" w:rsidRPr="00F0151C">
        <w:rPr>
          <w:rFonts w:ascii="Arial" w:eastAsia="Times New Roman" w:hAnsi="Arial" w:cs="Arial"/>
          <w:b/>
          <w:bCs/>
          <w:color w:val="auto"/>
          <w:spacing w:val="-2"/>
        </w:rPr>
        <w:t>Powyższe stanowiło wniosek pokontrolny w poprzedniej kontroli.</w:t>
      </w:r>
    </w:p>
    <w:p w14:paraId="5FBFBF8F" w14:textId="2AA51AEC" w:rsidR="00262113" w:rsidRPr="00F0151C" w:rsidRDefault="00EE32E0" w:rsidP="0006122F">
      <w:pPr>
        <w:pStyle w:val="Akapitzlist"/>
        <w:numPr>
          <w:ilvl w:val="0"/>
          <w:numId w:val="13"/>
        </w:numPr>
        <w:tabs>
          <w:tab w:val="left" w:pos="434"/>
        </w:tabs>
        <w:ind w:left="0" w:firstLine="0"/>
        <w:rPr>
          <w:rFonts w:ascii="Arial" w:hAnsi="Arial" w:cs="Arial"/>
          <w:color w:val="auto"/>
          <w:spacing w:val="-2"/>
          <w:sz w:val="22"/>
          <w:szCs w:val="22"/>
          <w:u w:val="single"/>
          <w:lang w:val="pl-PL"/>
        </w:rPr>
      </w:pPr>
      <w:bookmarkStart w:id="10" w:name="_Hlk147238255"/>
      <w:r w:rsidRPr="00F0151C">
        <w:rPr>
          <w:rFonts w:ascii="Arial" w:hAnsi="Arial" w:cs="Arial"/>
          <w:color w:val="auto"/>
          <w:spacing w:val="-4"/>
          <w:sz w:val="22"/>
          <w:szCs w:val="22"/>
          <w:lang w:val="pl-PL"/>
        </w:rPr>
        <w:t>Nieprzestrzeganie</w:t>
      </w:r>
      <w:r w:rsidR="00464842" w:rsidRPr="00F0151C">
        <w:rPr>
          <w:rFonts w:ascii="Arial" w:hAnsi="Arial" w:cs="Arial"/>
          <w:color w:val="auto"/>
          <w:spacing w:val="-4"/>
          <w:sz w:val="22"/>
          <w:szCs w:val="22"/>
          <w:lang w:val="pl-PL"/>
        </w:rPr>
        <w:t xml:space="preserve"> </w:t>
      </w:r>
      <w:r w:rsidRPr="00F0151C">
        <w:rPr>
          <w:rFonts w:ascii="Arial" w:hAnsi="Arial" w:cs="Arial"/>
          <w:color w:val="auto"/>
          <w:spacing w:val="-4"/>
          <w:sz w:val="22"/>
          <w:szCs w:val="22"/>
          <w:lang w:val="pl-PL"/>
        </w:rPr>
        <w:t xml:space="preserve">zaleceń </w:t>
      </w:r>
      <w:bookmarkStart w:id="11" w:name="_Hlk146875109"/>
      <w:r w:rsidRPr="00F0151C">
        <w:rPr>
          <w:rFonts w:ascii="Arial" w:hAnsi="Arial" w:cs="Arial"/>
          <w:color w:val="auto"/>
          <w:spacing w:val="-4"/>
          <w:sz w:val="22"/>
          <w:szCs w:val="22"/>
          <w:lang w:val="pl-PL"/>
        </w:rPr>
        <w:t xml:space="preserve">Prezydenta Miasta Tychy </w:t>
      </w:r>
      <w:bookmarkEnd w:id="11"/>
      <w:r w:rsidRPr="00F0151C">
        <w:rPr>
          <w:rFonts w:ascii="Arial" w:hAnsi="Arial" w:cs="Arial"/>
          <w:color w:val="auto"/>
          <w:spacing w:val="-4"/>
          <w:sz w:val="22"/>
          <w:szCs w:val="22"/>
          <w:lang w:val="pl-PL"/>
        </w:rPr>
        <w:t xml:space="preserve">w zakresie ujmowania w księgach rachunkowych przychodów i kosztów wskazanych w piśmie z dnia 11 stycznia 2018 r. </w:t>
      </w:r>
      <w:bookmarkEnd w:id="10"/>
      <w:r w:rsidRPr="00F0151C">
        <w:rPr>
          <w:rFonts w:ascii="Arial" w:hAnsi="Arial" w:cs="Arial"/>
          <w:color w:val="auto"/>
          <w:spacing w:val="-4"/>
          <w:sz w:val="22"/>
          <w:szCs w:val="22"/>
          <w:lang w:val="pl-PL"/>
        </w:rPr>
        <w:t>w którym ustalono wspólne zasady (polityki) rachunkowości w jednostkach organizacyjnych miasta Tychy.</w:t>
      </w:r>
      <w:r w:rsidRPr="00F0151C">
        <w:rPr>
          <w:rFonts w:ascii="Arial" w:hAnsi="Arial" w:cs="Arial"/>
          <w:b/>
          <w:color w:val="auto"/>
          <w:spacing w:val="-4"/>
          <w:sz w:val="22"/>
          <w:szCs w:val="22"/>
          <w:lang w:val="pl-PL"/>
        </w:rPr>
        <w:t xml:space="preserve"> </w:t>
      </w:r>
      <w:r w:rsidRPr="00F0151C">
        <w:rPr>
          <w:rFonts w:ascii="Arial" w:hAnsi="Arial" w:cs="Arial"/>
          <w:color w:val="auto"/>
          <w:spacing w:val="-4"/>
          <w:sz w:val="22"/>
          <w:szCs w:val="22"/>
          <w:lang w:val="pl-PL"/>
        </w:rPr>
        <w:t>W piśmie wskazano, iż w zakresie ujmowania w księgach rachunkowych przychodów i</w:t>
      </w:r>
      <w:r w:rsidR="00FB3DBC" w:rsidRPr="00F0151C">
        <w:rPr>
          <w:rFonts w:ascii="Arial" w:hAnsi="Arial" w:cs="Arial"/>
          <w:color w:val="auto"/>
          <w:spacing w:val="-4"/>
          <w:sz w:val="22"/>
          <w:szCs w:val="22"/>
          <w:lang w:val="pl-PL"/>
        </w:rPr>
        <w:t> </w:t>
      </w:r>
      <w:r w:rsidRPr="00F0151C">
        <w:rPr>
          <w:rFonts w:ascii="Arial" w:hAnsi="Arial" w:cs="Arial"/>
          <w:color w:val="auto"/>
          <w:spacing w:val="-4"/>
          <w:sz w:val="22"/>
          <w:szCs w:val="22"/>
          <w:lang w:val="pl-PL"/>
        </w:rPr>
        <w:t>kosztów należy stosować zasady wynikające z następujących artykułów ustawy o</w:t>
      </w:r>
      <w:r w:rsidR="00303B6C" w:rsidRPr="00F0151C">
        <w:rPr>
          <w:rFonts w:ascii="Arial" w:hAnsi="Arial" w:cs="Arial"/>
          <w:color w:val="auto"/>
          <w:spacing w:val="-4"/>
          <w:sz w:val="22"/>
          <w:szCs w:val="22"/>
          <w:lang w:val="pl-PL"/>
        </w:rPr>
        <w:t> </w:t>
      </w:r>
      <w:r w:rsidRPr="00F0151C">
        <w:rPr>
          <w:rFonts w:ascii="Arial" w:hAnsi="Arial" w:cs="Arial"/>
          <w:color w:val="auto"/>
          <w:spacing w:val="-4"/>
          <w:sz w:val="22"/>
          <w:szCs w:val="22"/>
          <w:lang w:val="pl-PL"/>
        </w:rPr>
        <w:t>rachunkowości: art. 6 ust 1 – w księgach rachunkowych jednostki należy ująć wszystkie osiągnięte, przypadające na jej rzecz przychody i obciążające ją koszty związane z tymi przychodami dotyczące danego roku obrotowego, niezależnie od terminu ich zapłaty, art. 20 ust. 1 – do ksiąg rachunkowych okresu sprawozdawczego należy wprowadzić, w postaci zapisu, każde zdarzenie, które nastąpiło w tym okresie sprawozdawczym oraz art. 24 w zakresie ksiąg rachunkowych, które uznaje się za prowadzone bezbłędnie, jeżeli wprowadzono do nich kompletne i poprawnie wszystkie zakwalifikowane do zaksięgowania w</w:t>
      </w:r>
      <w:r w:rsidR="00FB3DBC" w:rsidRPr="00F0151C">
        <w:rPr>
          <w:rFonts w:ascii="Arial" w:hAnsi="Arial" w:cs="Arial"/>
          <w:color w:val="auto"/>
          <w:spacing w:val="-4"/>
          <w:sz w:val="22"/>
          <w:szCs w:val="22"/>
          <w:lang w:val="pl-PL"/>
        </w:rPr>
        <w:t> </w:t>
      </w:r>
      <w:r w:rsidRPr="00F0151C">
        <w:rPr>
          <w:rFonts w:ascii="Arial" w:hAnsi="Arial" w:cs="Arial"/>
          <w:color w:val="auto"/>
          <w:spacing w:val="-4"/>
          <w:sz w:val="22"/>
          <w:szCs w:val="22"/>
          <w:lang w:val="pl-PL"/>
        </w:rPr>
        <w:t xml:space="preserve">danym miesiącu dowody księgowe, zapewniono ciągłość zapisów oraz bezbłędność działania stosowanych procedur obliczeniowych. </w:t>
      </w:r>
      <w:r w:rsidRPr="00F0151C">
        <w:rPr>
          <w:rFonts w:ascii="Arial" w:hAnsi="Arial" w:cs="Arial"/>
          <w:b/>
          <w:color w:val="auto"/>
          <w:spacing w:val="-4"/>
          <w:sz w:val="22"/>
          <w:szCs w:val="22"/>
          <w:lang w:val="pl-PL"/>
        </w:rPr>
        <w:t>Powyższe oznacza, iż ujęcie operacji gospodarczych w księgach rachunkowych następuje w momencie ich powstania, a nie w dacie ich zapłaty. W przypadku, gdy koszty/przychody wynikające z dokumentu księgowego obejmują okres wykraczający poza jeden miesiąc, należy dokonać ich podziału i ująć odpowiednio w księgach miesięcy, których dotyczą</w:t>
      </w:r>
      <w:r w:rsidRPr="00F0151C">
        <w:rPr>
          <w:rFonts w:ascii="Arial" w:hAnsi="Arial" w:cs="Arial"/>
          <w:color w:val="auto"/>
          <w:spacing w:val="-4"/>
          <w:sz w:val="22"/>
          <w:szCs w:val="22"/>
          <w:lang w:val="pl-PL"/>
        </w:rPr>
        <w:t xml:space="preserve">”. </w:t>
      </w:r>
      <w:r w:rsidRPr="00F0151C">
        <w:rPr>
          <w:rFonts w:ascii="Arial" w:hAnsi="Arial" w:cs="Arial"/>
          <w:color w:val="auto"/>
          <w:spacing w:val="-2"/>
          <w:sz w:val="22"/>
          <w:szCs w:val="22"/>
          <w:lang w:val="pl-PL"/>
        </w:rPr>
        <w:lastRenderedPageBreak/>
        <w:t>Jak wskazano już w</w:t>
      </w:r>
      <w:r w:rsidR="00303B6C"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 xml:space="preserve">treści protokołu w </w:t>
      </w:r>
      <w:r w:rsidR="00464842" w:rsidRPr="00F0151C">
        <w:rPr>
          <w:rFonts w:ascii="Arial" w:hAnsi="Arial" w:cs="Arial"/>
          <w:color w:val="auto"/>
          <w:spacing w:val="-2"/>
          <w:sz w:val="22"/>
          <w:szCs w:val="22"/>
          <w:lang w:val="pl-PL"/>
        </w:rPr>
        <w:t>MZBM</w:t>
      </w:r>
      <w:r w:rsidRPr="00F0151C">
        <w:rPr>
          <w:rFonts w:ascii="Arial" w:hAnsi="Arial" w:cs="Arial"/>
          <w:color w:val="auto"/>
          <w:spacing w:val="-2"/>
          <w:sz w:val="22"/>
          <w:szCs w:val="22"/>
          <w:lang w:val="pl-PL"/>
        </w:rPr>
        <w:t xml:space="preserve"> nie dostosowano zapisów polityki rachunkowości do ww. zaleceń. </w:t>
      </w:r>
      <w:r w:rsidR="00EB22B8" w:rsidRPr="00F0151C">
        <w:rPr>
          <w:rFonts w:ascii="Arial" w:hAnsi="Arial" w:cs="Arial"/>
          <w:color w:val="auto"/>
          <w:spacing w:val="-2"/>
          <w:sz w:val="22"/>
          <w:szCs w:val="22"/>
          <w:lang w:val="pl-PL"/>
        </w:rPr>
        <w:t xml:space="preserve"> </w:t>
      </w:r>
      <w:bookmarkStart w:id="12" w:name="_Hlk147238240"/>
      <w:r w:rsidR="00EB22B8" w:rsidRPr="00F0151C">
        <w:rPr>
          <w:rFonts w:ascii="Arial" w:hAnsi="Arial" w:cs="Arial"/>
          <w:color w:val="auto"/>
          <w:spacing w:val="-2"/>
          <w:sz w:val="22"/>
          <w:szCs w:val="22"/>
          <w:lang w:val="pl-PL"/>
        </w:rPr>
        <w:t>W </w:t>
      </w:r>
      <w:r w:rsidRPr="00F0151C">
        <w:rPr>
          <w:rFonts w:ascii="Arial" w:hAnsi="Arial" w:cs="Arial"/>
          <w:color w:val="auto"/>
          <w:spacing w:val="-2"/>
          <w:sz w:val="22"/>
          <w:szCs w:val="22"/>
          <w:lang w:val="pl-PL"/>
        </w:rPr>
        <w:t>trakcie weryfikacji dokumentów źródłowych stwierdzono, iż koszty obejmujące okres wykraczający poza jeden miesiąc w praktyce nie są właściwie (tj. zgodnie z</w:t>
      </w:r>
      <w:r w:rsidR="008F191A"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ww.</w:t>
      </w:r>
      <w:r w:rsidR="008C481C" w:rsidRPr="00F0151C">
        <w:rPr>
          <w:rFonts w:ascii="Arial" w:hAnsi="Arial" w:cs="Arial"/>
          <w:color w:val="auto"/>
          <w:spacing w:val="-2"/>
          <w:sz w:val="22"/>
          <w:szCs w:val="22"/>
          <w:lang w:val="pl-PL"/>
        </w:rPr>
        <w:t xml:space="preserve"> </w:t>
      </w:r>
      <w:r w:rsidRPr="00F0151C">
        <w:rPr>
          <w:rFonts w:ascii="Arial" w:hAnsi="Arial" w:cs="Arial"/>
          <w:color w:val="auto"/>
          <w:spacing w:val="-2"/>
          <w:sz w:val="22"/>
          <w:szCs w:val="22"/>
          <w:lang w:val="pl-PL"/>
        </w:rPr>
        <w:t>wytycznymi) ujmowane w księgach rachunkowych.</w:t>
      </w:r>
      <w:bookmarkEnd w:id="12"/>
      <w:r w:rsidRPr="00F0151C">
        <w:rPr>
          <w:rFonts w:ascii="Arial" w:hAnsi="Arial" w:cs="Arial"/>
          <w:color w:val="auto"/>
          <w:spacing w:val="-2"/>
          <w:sz w:val="22"/>
          <w:szCs w:val="22"/>
          <w:lang w:val="pl-PL"/>
        </w:rPr>
        <w:t xml:space="preserve"> </w:t>
      </w:r>
      <w:r w:rsidR="00262113" w:rsidRPr="00F0151C">
        <w:rPr>
          <w:rFonts w:ascii="Arial" w:hAnsi="Arial" w:cs="Arial"/>
          <w:color w:val="auto"/>
          <w:spacing w:val="-2"/>
          <w:sz w:val="22"/>
          <w:szCs w:val="22"/>
          <w:lang w:val="pl-PL"/>
        </w:rPr>
        <w:t>Ponadto, pismem z dnia 22.10.2022</w:t>
      </w:r>
      <w:r w:rsidR="008C481C" w:rsidRPr="00F0151C">
        <w:rPr>
          <w:rFonts w:ascii="Arial" w:hAnsi="Arial" w:cs="Arial"/>
          <w:color w:val="auto"/>
          <w:spacing w:val="-2"/>
          <w:sz w:val="22"/>
          <w:szCs w:val="22"/>
          <w:lang w:val="pl-PL"/>
        </w:rPr>
        <w:t> </w:t>
      </w:r>
      <w:r w:rsidR="00262113" w:rsidRPr="00F0151C">
        <w:rPr>
          <w:rFonts w:ascii="Arial" w:hAnsi="Arial" w:cs="Arial"/>
          <w:color w:val="auto"/>
          <w:spacing w:val="-2"/>
          <w:sz w:val="22"/>
          <w:szCs w:val="22"/>
          <w:lang w:val="pl-PL"/>
        </w:rPr>
        <w:t>r. Prezydent Miasta Tychy zobligował kierowników jednostek organizacyjnych Miasta Tychy do stosowania zasady, zgodnie z którą, do ksiąg danego miesiąca wprowadza się przypadające na jej rzecz przychody i obciążające ją koszty potwierdzone dokumentami, których wpływ do zakładu nastąpił nie później niż do 20 dnia następnego miesiąca (z</w:t>
      </w:r>
      <w:r w:rsidR="008C481C" w:rsidRPr="00F0151C">
        <w:rPr>
          <w:rFonts w:ascii="Arial" w:hAnsi="Arial" w:cs="Arial"/>
          <w:color w:val="auto"/>
          <w:spacing w:val="-2"/>
          <w:sz w:val="22"/>
          <w:szCs w:val="22"/>
          <w:lang w:val="pl-PL"/>
        </w:rPr>
        <w:t> </w:t>
      </w:r>
      <w:r w:rsidR="00262113" w:rsidRPr="00F0151C">
        <w:rPr>
          <w:rFonts w:ascii="Arial" w:hAnsi="Arial" w:cs="Arial"/>
          <w:color w:val="auto"/>
          <w:spacing w:val="-2"/>
          <w:sz w:val="22"/>
          <w:szCs w:val="22"/>
          <w:lang w:val="pl-PL"/>
        </w:rPr>
        <w:t>wyłączeniem miesiąca grudnia). Zgodnie zaś z</w:t>
      </w:r>
      <w:bookmarkStart w:id="13" w:name="_Hlk147238357"/>
      <w:r w:rsidR="007D6D5D" w:rsidRPr="00F0151C">
        <w:rPr>
          <w:rFonts w:ascii="Arial" w:hAnsi="Arial" w:cs="Arial"/>
          <w:color w:val="auto"/>
          <w:spacing w:val="-2"/>
          <w:sz w:val="22"/>
          <w:szCs w:val="22"/>
          <w:lang w:val="pl-PL"/>
        </w:rPr>
        <w:t> </w:t>
      </w:r>
      <w:r w:rsidR="00262113" w:rsidRPr="00F0151C">
        <w:rPr>
          <w:rFonts w:ascii="Arial" w:hAnsi="Arial" w:cs="Arial"/>
          <w:color w:val="auto"/>
          <w:spacing w:val="-2"/>
          <w:sz w:val="22"/>
          <w:szCs w:val="22"/>
          <w:lang w:val="pl-PL"/>
        </w:rPr>
        <w:t>treścią pisma</w:t>
      </w:r>
      <w:r w:rsidR="002532C3" w:rsidRPr="00F0151C">
        <w:rPr>
          <w:rFonts w:ascii="Arial" w:hAnsi="Arial" w:cs="Arial"/>
          <w:color w:val="auto"/>
          <w:spacing w:val="-2"/>
          <w:sz w:val="22"/>
          <w:szCs w:val="22"/>
          <w:lang w:val="pl-PL"/>
        </w:rPr>
        <w:t xml:space="preserve"> Prezydenta</w:t>
      </w:r>
      <w:r w:rsidR="00262113" w:rsidRPr="00F0151C">
        <w:rPr>
          <w:rFonts w:ascii="Arial" w:hAnsi="Arial" w:cs="Arial"/>
          <w:color w:val="auto"/>
          <w:spacing w:val="-2"/>
          <w:sz w:val="22"/>
          <w:szCs w:val="22"/>
          <w:lang w:val="pl-PL"/>
        </w:rPr>
        <w:t xml:space="preserve"> z </w:t>
      </w:r>
      <w:r w:rsidR="002532C3" w:rsidRPr="00F0151C">
        <w:rPr>
          <w:rFonts w:ascii="Arial" w:hAnsi="Arial" w:cs="Arial"/>
          <w:color w:val="auto"/>
          <w:spacing w:val="-2"/>
          <w:sz w:val="22"/>
          <w:szCs w:val="22"/>
          <w:lang w:val="pl-PL"/>
        </w:rPr>
        <w:t xml:space="preserve">marca 2019 r. </w:t>
      </w:r>
      <w:r w:rsidR="002532C3" w:rsidRPr="00F0151C">
        <w:rPr>
          <w:rFonts w:ascii="Arial" w:hAnsi="Arial" w:cs="Arial"/>
          <w:bCs/>
          <w:color w:val="auto"/>
          <w:spacing w:val="-2"/>
          <w:sz w:val="22"/>
          <w:szCs w:val="22"/>
          <w:lang w:val="pl-PL"/>
        </w:rPr>
        <w:t xml:space="preserve">dla rozliczenia zakupu materiałów, towarów, robót i usług, </w:t>
      </w:r>
      <w:r w:rsidR="002532C3" w:rsidRPr="00F0151C">
        <w:rPr>
          <w:rFonts w:ascii="Arial" w:hAnsi="Arial" w:cs="Arial"/>
          <w:bCs/>
          <w:color w:val="auto"/>
          <w:spacing w:val="-2"/>
          <w:sz w:val="22"/>
          <w:szCs w:val="22"/>
          <w:u w:val="single"/>
          <w:lang w:val="pl-PL"/>
        </w:rPr>
        <w:t xml:space="preserve">których dostawa i fakturowanie następuje w różnych okresach sprawozdawczych, w ewidencji księgowej stosuje się konto 300 </w:t>
      </w:r>
      <w:r w:rsidR="002532C3" w:rsidRPr="00F0151C">
        <w:rPr>
          <w:rFonts w:ascii="Arial" w:hAnsi="Arial" w:cs="Arial"/>
          <w:bCs/>
          <w:i/>
          <w:iCs/>
          <w:color w:val="auto"/>
          <w:spacing w:val="-2"/>
          <w:sz w:val="22"/>
          <w:szCs w:val="22"/>
          <w:u w:val="single"/>
          <w:lang w:val="pl-PL"/>
        </w:rPr>
        <w:t xml:space="preserve">Rozliczenie zakupu. </w:t>
      </w:r>
    </w:p>
    <w:bookmarkEnd w:id="13"/>
    <w:p w14:paraId="15F803EA" w14:textId="220731E7" w:rsidR="00EE32E0" w:rsidRPr="00F0151C" w:rsidRDefault="00FB3DBC" w:rsidP="00FB3DBC">
      <w:pPr>
        <w:pStyle w:val="Akapitzlist"/>
        <w:tabs>
          <w:tab w:val="left" w:pos="434"/>
        </w:tabs>
        <w:ind w:left="0"/>
        <w:rPr>
          <w:rFonts w:ascii="Arial" w:hAnsi="Arial" w:cs="Arial"/>
          <w:color w:val="auto"/>
          <w:spacing w:val="-2"/>
          <w:sz w:val="22"/>
          <w:szCs w:val="22"/>
          <w:lang w:val="pl-PL"/>
        </w:rPr>
      </w:pPr>
      <w:r w:rsidRPr="00F0151C">
        <w:rPr>
          <w:rFonts w:ascii="Arial" w:hAnsi="Arial" w:cs="Arial"/>
          <w:color w:val="auto"/>
          <w:spacing w:val="-2"/>
          <w:sz w:val="22"/>
          <w:szCs w:val="22"/>
          <w:lang w:val="pl-PL"/>
        </w:rPr>
        <w:t>Wyrywkowa weryfikacja dokumentów źródłowych wykazała</w:t>
      </w:r>
      <w:r w:rsidR="00262113" w:rsidRPr="00F0151C">
        <w:rPr>
          <w:rFonts w:ascii="Arial" w:hAnsi="Arial" w:cs="Arial"/>
          <w:color w:val="auto"/>
          <w:spacing w:val="-2"/>
          <w:sz w:val="22"/>
          <w:szCs w:val="22"/>
          <w:lang w:val="pl-PL"/>
        </w:rPr>
        <w:t>:</w:t>
      </w:r>
    </w:p>
    <w:p w14:paraId="471F6A90" w14:textId="0356A0D9" w:rsidR="00FB3DBC" w:rsidRPr="00F0151C" w:rsidRDefault="00FB3DBC" w:rsidP="00384BC5">
      <w:pPr>
        <w:pStyle w:val="Akapitzlist"/>
        <w:numPr>
          <w:ilvl w:val="0"/>
          <w:numId w:val="34"/>
        </w:numPr>
        <w:tabs>
          <w:tab w:val="left" w:pos="434"/>
        </w:tabs>
        <w:ind w:left="426" w:hanging="426"/>
        <w:rPr>
          <w:rFonts w:ascii="Arial" w:hAnsi="Arial" w:cs="Arial"/>
          <w:color w:val="auto"/>
          <w:spacing w:val="-2"/>
          <w:sz w:val="22"/>
          <w:szCs w:val="22"/>
          <w:lang w:val="pl-PL"/>
        </w:rPr>
      </w:pPr>
      <w:bookmarkStart w:id="14" w:name="_Hlk147238326"/>
      <w:r w:rsidRPr="00F0151C">
        <w:rPr>
          <w:rFonts w:ascii="Arial" w:hAnsi="Arial" w:cs="Arial"/>
          <w:color w:val="auto"/>
          <w:spacing w:val="-2"/>
          <w:sz w:val="22"/>
          <w:szCs w:val="22"/>
          <w:lang w:val="pl-PL"/>
        </w:rPr>
        <w:t xml:space="preserve">Nieprawidłowe ujęcie </w:t>
      </w:r>
      <w:r w:rsidR="005F7328" w:rsidRPr="00F0151C">
        <w:rPr>
          <w:rFonts w:ascii="Arial" w:hAnsi="Arial" w:cs="Arial"/>
          <w:color w:val="auto"/>
          <w:spacing w:val="-2"/>
          <w:sz w:val="22"/>
          <w:szCs w:val="22"/>
          <w:lang w:val="pl-PL"/>
        </w:rPr>
        <w:t>zobowiązań</w:t>
      </w:r>
      <w:r w:rsidRPr="00F0151C">
        <w:rPr>
          <w:rFonts w:ascii="Arial" w:hAnsi="Arial" w:cs="Arial"/>
          <w:color w:val="auto"/>
          <w:spacing w:val="-2"/>
          <w:sz w:val="22"/>
          <w:szCs w:val="22"/>
          <w:lang w:val="pl-PL"/>
        </w:rPr>
        <w:t xml:space="preserve"> w poszczególnych miesiącach 2022 r.</w:t>
      </w:r>
      <w:r w:rsidR="004B3ACE" w:rsidRPr="00F0151C">
        <w:rPr>
          <w:rFonts w:ascii="Arial" w:hAnsi="Arial" w:cs="Arial"/>
          <w:color w:val="auto"/>
          <w:spacing w:val="-2"/>
          <w:sz w:val="22"/>
          <w:szCs w:val="22"/>
          <w:lang w:val="pl-PL"/>
        </w:rPr>
        <w:t xml:space="preserve"> </w:t>
      </w:r>
      <w:r w:rsidRPr="00F0151C">
        <w:rPr>
          <w:rFonts w:ascii="Arial" w:hAnsi="Arial" w:cs="Arial"/>
          <w:color w:val="auto"/>
          <w:spacing w:val="-2"/>
          <w:sz w:val="22"/>
          <w:szCs w:val="22"/>
          <w:lang w:val="pl-PL"/>
        </w:rPr>
        <w:t>przykładowo wynikających z:</w:t>
      </w:r>
    </w:p>
    <w:p w14:paraId="3CBE3AE0" w14:textId="3A6B18CC" w:rsidR="00FB3DBC" w:rsidRPr="00F0151C" w:rsidRDefault="008F6A61" w:rsidP="00384BC5">
      <w:pPr>
        <w:pStyle w:val="Akapitzlist"/>
        <w:numPr>
          <w:ilvl w:val="0"/>
          <w:numId w:val="29"/>
        </w:numPr>
        <w:tabs>
          <w:tab w:val="left" w:pos="434"/>
        </w:tabs>
        <w:ind w:left="426" w:hanging="426"/>
        <w:rPr>
          <w:rFonts w:ascii="Arial" w:eastAsia="Times New Roman" w:hAnsi="Arial" w:cs="Arial"/>
          <w:color w:val="auto"/>
          <w:spacing w:val="-2"/>
          <w:sz w:val="22"/>
          <w:szCs w:val="22"/>
          <w:lang w:val="pl-PL"/>
        </w:rPr>
      </w:pPr>
      <w:bookmarkStart w:id="15" w:name="_Hlk146878767"/>
      <w:bookmarkEnd w:id="14"/>
      <w:r w:rsidRPr="00F0151C">
        <w:rPr>
          <w:rFonts w:ascii="Arial" w:hAnsi="Arial" w:cs="Arial"/>
          <w:color w:val="auto"/>
          <w:spacing w:val="-2"/>
          <w:sz w:val="22"/>
          <w:szCs w:val="22"/>
          <w:lang w:val="pl-PL"/>
        </w:rPr>
        <w:t>faktur</w:t>
      </w:r>
      <w:r w:rsidR="005F7328" w:rsidRPr="00F0151C">
        <w:rPr>
          <w:rFonts w:ascii="Arial" w:hAnsi="Arial" w:cs="Arial"/>
          <w:color w:val="auto"/>
          <w:spacing w:val="-2"/>
          <w:sz w:val="22"/>
          <w:szCs w:val="22"/>
          <w:lang w:val="pl-PL"/>
        </w:rPr>
        <w:t>y</w:t>
      </w:r>
      <w:r w:rsidRPr="00F0151C">
        <w:rPr>
          <w:rFonts w:ascii="Arial" w:hAnsi="Arial" w:cs="Arial"/>
          <w:color w:val="auto"/>
          <w:spacing w:val="-2"/>
          <w:sz w:val="22"/>
          <w:szCs w:val="22"/>
          <w:lang w:val="pl-PL"/>
        </w:rPr>
        <w:t xml:space="preserve">  nr FA/10/03/2022 wystawion</w:t>
      </w:r>
      <w:r w:rsidR="005F7328" w:rsidRPr="00F0151C">
        <w:rPr>
          <w:rFonts w:ascii="Arial" w:hAnsi="Arial" w:cs="Arial"/>
          <w:color w:val="auto"/>
          <w:spacing w:val="-2"/>
          <w:sz w:val="22"/>
          <w:szCs w:val="22"/>
          <w:lang w:val="pl-PL"/>
        </w:rPr>
        <w:t>ej</w:t>
      </w:r>
      <w:r w:rsidRPr="00F0151C">
        <w:rPr>
          <w:rFonts w:ascii="Arial" w:hAnsi="Arial" w:cs="Arial"/>
          <w:color w:val="auto"/>
          <w:spacing w:val="-2"/>
          <w:sz w:val="22"/>
          <w:szCs w:val="22"/>
          <w:lang w:val="pl-PL"/>
        </w:rPr>
        <w:t xml:space="preserve"> 3.03.2022 r. (data wpływu do zakładu 7.03.2022 r.) z dat</w:t>
      </w:r>
      <w:r w:rsidR="00AC426B" w:rsidRPr="00F0151C">
        <w:rPr>
          <w:rFonts w:ascii="Arial" w:hAnsi="Arial" w:cs="Arial"/>
          <w:color w:val="auto"/>
          <w:spacing w:val="-2"/>
          <w:sz w:val="22"/>
          <w:szCs w:val="22"/>
          <w:lang w:val="pl-PL"/>
        </w:rPr>
        <w:t>ą</w:t>
      </w:r>
      <w:r w:rsidRPr="00F0151C">
        <w:rPr>
          <w:rFonts w:ascii="Arial" w:hAnsi="Arial" w:cs="Arial"/>
          <w:color w:val="auto"/>
          <w:spacing w:val="-2"/>
          <w:sz w:val="22"/>
          <w:szCs w:val="22"/>
          <w:lang w:val="pl-PL"/>
        </w:rPr>
        <w:t xml:space="preserve"> sprzedaży 28.02.2022 r. za utrzymanie czystości w częściach wspólnych nieruchomości na kwotę 3 587,09 zł została prawidłowo ujęta w kosztach lutego, przy czym niewłaściwie </w:t>
      </w:r>
      <w:r w:rsidR="0086541E" w:rsidRPr="00F0151C">
        <w:rPr>
          <w:rFonts w:ascii="Arial" w:hAnsi="Arial" w:cs="Arial"/>
          <w:color w:val="auto"/>
          <w:spacing w:val="-2"/>
          <w:sz w:val="22"/>
          <w:szCs w:val="22"/>
          <w:lang w:val="pl-PL"/>
        </w:rPr>
        <w:t>zaewidencjonowano zobowiązanie, które należało ująć w księgach marca,</w:t>
      </w:r>
    </w:p>
    <w:bookmarkEnd w:id="15"/>
    <w:p w14:paraId="66DF8427" w14:textId="47B1B70F" w:rsidR="00AC426B" w:rsidRPr="00F0151C" w:rsidRDefault="00AC426B" w:rsidP="00AC426B">
      <w:pPr>
        <w:pStyle w:val="Akapitzlist"/>
        <w:numPr>
          <w:ilvl w:val="0"/>
          <w:numId w:val="29"/>
        </w:numPr>
        <w:tabs>
          <w:tab w:val="left" w:pos="434"/>
        </w:tabs>
        <w:ind w:left="426" w:hanging="426"/>
        <w:rPr>
          <w:rFonts w:ascii="Arial" w:eastAsia="Times New Roman" w:hAnsi="Arial" w:cs="Arial"/>
          <w:color w:val="auto"/>
          <w:spacing w:val="-2"/>
          <w:sz w:val="22"/>
          <w:szCs w:val="22"/>
          <w:lang w:val="pl-PL"/>
        </w:rPr>
      </w:pPr>
      <w:r w:rsidRPr="00F0151C">
        <w:rPr>
          <w:rFonts w:ascii="Arial" w:hAnsi="Arial" w:cs="Arial"/>
          <w:color w:val="auto"/>
          <w:spacing w:val="-2"/>
          <w:sz w:val="22"/>
          <w:szCs w:val="22"/>
          <w:lang w:val="pl-PL"/>
        </w:rPr>
        <w:t>faktur</w:t>
      </w:r>
      <w:r w:rsidR="005F7328" w:rsidRPr="00F0151C">
        <w:rPr>
          <w:rFonts w:ascii="Arial" w:hAnsi="Arial" w:cs="Arial"/>
          <w:color w:val="auto"/>
          <w:spacing w:val="-2"/>
          <w:sz w:val="22"/>
          <w:szCs w:val="22"/>
          <w:lang w:val="pl-PL"/>
        </w:rPr>
        <w:t>y</w:t>
      </w:r>
      <w:r w:rsidRPr="00F0151C">
        <w:rPr>
          <w:rFonts w:ascii="Arial" w:hAnsi="Arial" w:cs="Arial"/>
          <w:color w:val="auto"/>
          <w:spacing w:val="-2"/>
          <w:sz w:val="22"/>
          <w:szCs w:val="22"/>
          <w:lang w:val="pl-PL"/>
        </w:rPr>
        <w:t xml:space="preserve">  nr F/10/22/000018 wystawion</w:t>
      </w:r>
      <w:r w:rsidR="005F7328" w:rsidRPr="00F0151C">
        <w:rPr>
          <w:rFonts w:ascii="Arial" w:hAnsi="Arial" w:cs="Arial"/>
          <w:color w:val="auto"/>
          <w:spacing w:val="-2"/>
          <w:sz w:val="22"/>
          <w:szCs w:val="22"/>
          <w:lang w:val="pl-PL"/>
        </w:rPr>
        <w:t>ej</w:t>
      </w:r>
      <w:r w:rsidRPr="00F0151C">
        <w:rPr>
          <w:rFonts w:ascii="Arial" w:hAnsi="Arial" w:cs="Arial"/>
          <w:color w:val="auto"/>
          <w:spacing w:val="-2"/>
          <w:sz w:val="22"/>
          <w:szCs w:val="22"/>
          <w:lang w:val="pl-PL"/>
        </w:rPr>
        <w:t xml:space="preserve"> 5.10.2022 r. (data wpływu do zakładu 5.10.2022</w:t>
      </w:r>
      <w:r w:rsidR="00375221"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r.) z datą sprzedaży 30.09.2022 r. za utrzymanie czystości w budynku i terenach przyległych dot. Pasaż Kultury Andromeda na kwotę 11 149,81 zł została prawidłowo ujęta w kosztach września, przy czym niewłaściwie zaewidencjonowano zobowiązanie, które należało ująć w księgach pa</w:t>
      </w:r>
      <w:r w:rsidR="00F55A97" w:rsidRPr="00F0151C">
        <w:rPr>
          <w:rFonts w:ascii="Arial" w:hAnsi="Arial" w:cs="Arial"/>
          <w:color w:val="auto"/>
          <w:spacing w:val="-2"/>
          <w:sz w:val="22"/>
          <w:szCs w:val="22"/>
          <w:lang w:val="pl-PL"/>
        </w:rPr>
        <w:t>ź</w:t>
      </w:r>
      <w:r w:rsidRPr="00F0151C">
        <w:rPr>
          <w:rFonts w:ascii="Arial" w:hAnsi="Arial" w:cs="Arial"/>
          <w:color w:val="auto"/>
          <w:spacing w:val="-2"/>
          <w:sz w:val="22"/>
          <w:szCs w:val="22"/>
          <w:lang w:val="pl-PL"/>
        </w:rPr>
        <w:t>dziernika,</w:t>
      </w:r>
    </w:p>
    <w:p w14:paraId="3FAAB3E8" w14:textId="71574EF7" w:rsidR="00F55A97" w:rsidRPr="00F0151C" w:rsidRDefault="00F55A97" w:rsidP="00F55A97">
      <w:pPr>
        <w:pStyle w:val="Akapitzlist"/>
        <w:numPr>
          <w:ilvl w:val="0"/>
          <w:numId w:val="29"/>
        </w:numPr>
        <w:tabs>
          <w:tab w:val="left" w:pos="434"/>
        </w:tabs>
        <w:ind w:left="426" w:hanging="426"/>
        <w:rPr>
          <w:rFonts w:ascii="Arial" w:eastAsia="Times New Roman" w:hAnsi="Arial" w:cs="Arial"/>
          <w:color w:val="auto"/>
          <w:spacing w:val="-2"/>
          <w:sz w:val="22"/>
          <w:szCs w:val="22"/>
          <w:lang w:val="pl-PL"/>
        </w:rPr>
      </w:pPr>
      <w:bookmarkStart w:id="16" w:name="_Hlk146880223"/>
      <w:r w:rsidRPr="00F0151C">
        <w:rPr>
          <w:rFonts w:ascii="Arial" w:hAnsi="Arial" w:cs="Arial"/>
          <w:color w:val="auto"/>
          <w:spacing w:val="-2"/>
          <w:sz w:val="22"/>
          <w:szCs w:val="22"/>
          <w:lang w:val="pl-PL"/>
        </w:rPr>
        <w:t>faktur</w:t>
      </w:r>
      <w:r w:rsidR="005F7328" w:rsidRPr="00F0151C">
        <w:rPr>
          <w:rFonts w:ascii="Arial" w:hAnsi="Arial" w:cs="Arial"/>
          <w:color w:val="auto"/>
          <w:spacing w:val="-2"/>
          <w:sz w:val="22"/>
          <w:szCs w:val="22"/>
          <w:lang w:val="pl-PL"/>
        </w:rPr>
        <w:t>y</w:t>
      </w:r>
      <w:r w:rsidRPr="00F0151C">
        <w:rPr>
          <w:rFonts w:ascii="Arial" w:hAnsi="Arial" w:cs="Arial"/>
          <w:color w:val="auto"/>
          <w:spacing w:val="-2"/>
          <w:sz w:val="22"/>
          <w:szCs w:val="22"/>
          <w:lang w:val="pl-PL"/>
        </w:rPr>
        <w:t xml:space="preserve">  nr F/10/22/000020 wystawion</w:t>
      </w:r>
      <w:r w:rsidR="005F7328" w:rsidRPr="00F0151C">
        <w:rPr>
          <w:rFonts w:ascii="Arial" w:hAnsi="Arial" w:cs="Arial"/>
          <w:color w:val="auto"/>
          <w:spacing w:val="-2"/>
          <w:sz w:val="22"/>
          <w:szCs w:val="22"/>
          <w:lang w:val="pl-PL"/>
        </w:rPr>
        <w:t>ej</w:t>
      </w:r>
      <w:r w:rsidRPr="00F0151C">
        <w:rPr>
          <w:rFonts w:ascii="Arial" w:hAnsi="Arial" w:cs="Arial"/>
          <w:color w:val="auto"/>
          <w:spacing w:val="-2"/>
          <w:sz w:val="22"/>
          <w:szCs w:val="22"/>
          <w:lang w:val="pl-PL"/>
        </w:rPr>
        <w:t xml:space="preserve"> 5.10.2022 r. (data wpływu do zakładu 5.10.2022</w:t>
      </w:r>
      <w:r w:rsidR="00375221"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r.) z datą sprzedaży 30.09.2022 r. za utrzymanie czystości w budynku i terenach przyległych dot. Dworzec PKP na kwotę 9 945,82 zł została prawidłowo ujęta w kosztach września, przy czym niewłaściwie zaewidencjonowano zobowiązanie, które należało ująć w</w:t>
      </w:r>
      <w:r w:rsidR="00375221"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księgach października,</w:t>
      </w:r>
    </w:p>
    <w:bookmarkEnd w:id="16"/>
    <w:p w14:paraId="51788F00" w14:textId="345C4943" w:rsidR="00F55A97" w:rsidRPr="00F0151C" w:rsidRDefault="00F55A97" w:rsidP="00F55A97">
      <w:pPr>
        <w:pStyle w:val="Akapitzlist"/>
        <w:numPr>
          <w:ilvl w:val="0"/>
          <w:numId w:val="29"/>
        </w:numPr>
        <w:tabs>
          <w:tab w:val="left" w:pos="434"/>
        </w:tabs>
        <w:ind w:left="426" w:hanging="426"/>
        <w:rPr>
          <w:rFonts w:ascii="Arial" w:eastAsia="Times New Roman" w:hAnsi="Arial" w:cs="Arial"/>
          <w:color w:val="auto"/>
          <w:spacing w:val="-2"/>
          <w:sz w:val="22"/>
          <w:szCs w:val="22"/>
          <w:lang w:val="pl-PL"/>
        </w:rPr>
      </w:pPr>
      <w:r w:rsidRPr="00F0151C">
        <w:rPr>
          <w:rFonts w:ascii="Arial" w:hAnsi="Arial" w:cs="Arial"/>
          <w:color w:val="auto"/>
          <w:spacing w:val="-2"/>
          <w:sz w:val="22"/>
          <w:szCs w:val="22"/>
          <w:lang w:val="pl-PL"/>
        </w:rPr>
        <w:t>faktur</w:t>
      </w:r>
      <w:r w:rsidR="005F7328" w:rsidRPr="00F0151C">
        <w:rPr>
          <w:rFonts w:ascii="Arial" w:hAnsi="Arial" w:cs="Arial"/>
          <w:color w:val="auto"/>
          <w:spacing w:val="-2"/>
          <w:sz w:val="22"/>
          <w:szCs w:val="22"/>
          <w:lang w:val="pl-PL"/>
        </w:rPr>
        <w:t>y</w:t>
      </w:r>
      <w:r w:rsidRPr="00F0151C">
        <w:rPr>
          <w:rFonts w:ascii="Arial" w:hAnsi="Arial" w:cs="Arial"/>
          <w:color w:val="auto"/>
          <w:spacing w:val="-2"/>
          <w:sz w:val="22"/>
          <w:szCs w:val="22"/>
          <w:lang w:val="pl-PL"/>
        </w:rPr>
        <w:t xml:space="preserve">  nr F/10/22/000021 wystawion</w:t>
      </w:r>
      <w:r w:rsidR="005F7328" w:rsidRPr="00F0151C">
        <w:rPr>
          <w:rFonts w:ascii="Arial" w:hAnsi="Arial" w:cs="Arial"/>
          <w:color w:val="auto"/>
          <w:spacing w:val="-2"/>
          <w:sz w:val="22"/>
          <w:szCs w:val="22"/>
          <w:lang w:val="pl-PL"/>
        </w:rPr>
        <w:t>ej</w:t>
      </w:r>
      <w:r w:rsidRPr="00F0151C">
        <w:rPr>
          <w:rFonts w:ascii="Arial" w:hAnsi="Arial" w:cs="Arial"/>
          <w:color w:val="auto"/>
          <w:spacing w:val="-2"/>
          <w:sz w:val="22"/>
          <w:szCs w:val="22"/>
          <w:lang w:val="pl-PL"/>
        </w:rPr>
        <w:t xml:space="preserve"> 5.10.2022 r. (data wpływu do zakładu 5.10.2022</w:t>
      </w:r>
      <w:r w:rsidR="00375221"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r.) z datą sprzedaży 30.09.2022 r. za utrzymanie czystości w budynku i terenach przyległych dot. CUS na kwotę 6 815,63 zł została prawidłowo ujęta w kosztach września, przy czym niewłaściwie zaewidencjonowano zobowiązanie, które należało ująć w</w:t>
      </w:r>
      <w:r w:rsidR="00375221"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księgach października,</w:t>
      </w:r>
    </w:p>
    <w:p w14:paraId="4B669DC4" w14:textId="4F6F66BE" w:rsidR="00741E38" w:rsidRPr="00F0151C" w:rsidRDefault="00741E38" w:rsidP="00741E38">
      <w:pPr>
        <w:pStyle w:val="Akapitzlist"/>
        <w:numPr>
          <w:ilvl w:val="0"/>
          <w:numId w:val="29"/>
        </w:numPr>
        <w:tabs>
          <w:tab w:val="left" w:pos="434"/>
        </w:tabs>
        <w:ind w:left="426" w:hanging="426"/>
        <w:rPr>
          <w:rFonts w:ascii="Arial" w:eastAsia="Times New Roman" w:hAnsi="Arial" w:cs="Arial"/>
          <w:color w:val="auto"/>
          <w:sz w:val="22"/>
          <w:szCs w:val="22"/>
          <w:lang w:val="pl-PL"/>
        </w:rPr>
      </w:pPr>
      <w:r w:rsidRPr="00F0151C">
        <w:rPr>
          <w:rFonts w:ascii="Arial" w:hAnsi="Arial" w:cs="Arial"/>
          <w:color w:val="auto"/>
          <w:sz w:val="22"/>
          <w:szCs w:val="22"/>
          <w:lang w:val="pl-PL"/>
        </w:rPr>
        <w:t>faktur</w:t>
      </w:r>
      <w:r w:rsidR="005F7328" w:rsidRPr="00F0151C">
        <w:rPr>
          <w:rFonts w:ascii="Arial" w:hAnsi="Arial" w:cs="Arial"/>
          <w:color w:val="auto"/>
          <w:sz w:val="22"/>
          <w:szCs w:val="22"/>
          <w:lang w:val="pl-PL"/>
        </w:rPr>
        <w:t>y</w:t>
      </w:r>
      <w:r w:rsidRPr="00F0151C">
        <w:rPr>
          <w:rFonts w:ascii="Arial" w:hAnsi="Arial" w:cs="Arial"/>
          <w:color w:val="auto"/>
          <w:sz w:val="22"/>
          <w:szCs w:val="22"/>
          <w:lang w:val="pl-PL"/>
        </w:rPr>
        <w:t xml:space="preserve"> nr 762/01/2022/E6 wystawion</w:t>
      </w:r>
      <w:r w:rsidR="005F7328" w:rsidRPr="00F0151C">
        <w:rPr>
          <w:rFonts w:ascii="Arial" w:hAnsi="Arial" w:cs="Arial"/>
          <w:color w:val="auto"/>
          <w:sz w:val="22"/>
          <w:szCs w:val="22"/>
          <w:lang w:val="pl-PL"/>
        </w:rPr>
        <w:t>ej</w:t>
      </w:r>
      <w:r w:rsidRPr="00F0151C">
        <w:rPr>
          <w:rFonts w:ascii="Arial" w:hAnsi="Arial" w:cs="Arial"/>
          <w:color w:val="auto"/>
          <w:sz w:val="22"/>
          <w:szCs w:val="22"/>
          <w:lang w:val="pl-PL"/>
        </w:rPr>
        <w:t xml:space="preserve"> 4.02.2022 r. (data wpływu do zakładu </w:t>
      </w:r>
      <w:r w:rsidRPr="00F0151C">
        <w:rPr>
          <w:rFonts w:ascii="Arial" w:hAnsi="Arial" w:cs="Arial"/>
          <w:color w:val="auto"/>
          <w:sz w:val="22"/>
          <w:szCs w:val="22"/>
          <w:lang w:val="pl-PL"/>
        </w:rPr>
        <w:lastRenderedPageBreak/>
        <w:t>9.02.2022</w:t>
      </w:r>
      <w:r w:rsidR="00375221" w:rsidRPr="00F0151C">
        <w:rPr>
          <w:rFonts w:ascii="Arial" w:hAnsi="Arial" w:cs="Arial"/>
          <w:color w:val="auto"/>
          <w:sz w:val="22"/>
          <w:szCs w:val="22"/>
          <w:lang w:val="pl-PL"/>
        </w:rPr>
        <w:t> </w:t>
      </w:r>
      <w:r w:rsidRPr="00F0151C">
        <w:rPr>
          <w:rFonts w:ascii="Arial" w:hAnsi="Arial" w:cs="Arial"/>
          <w:color w:val="auto"/>
          <w:sz w:val="22"/>
          <w:szCs w:val="22"/>
          <w:lang w:val="pl-PL"/>
        </w:rPr>
        <w:t>r.) za okres od 23.12.2021 r</w:t>
      </w:r>
      <w:r w:rsidR="00D96E1A" w:rsidRPr="00F0151C">
        <w:rPr>
          <w:rFonts w:ascii="Arial" w:hAnsi="Arial" w:cs="Arial"/>
          <w:color w:val="auto"/>
          <w:sz w:val="22"/>
          <w:szCs w:val="22"/>
          <w:lang w:val="pl-PL"/>
        </w:rPr>
        <w:t>.</w:t>
      </w:r>
      <w:r w:rsidRPr="00F0151C">
        <w:rPr>
          <w:rFonts w:ascii="Arial" w:hAnsi="Arial" w:cs="Arial"/>
          <w:color w:val="auto"/>
          <w:sz w:val="22"/>
          <w:szCs w:val="22"/>
          <w:lang w:val="pl-PL"/>
        </w:rPr>
        <w:t xml:space="preserve"> do 25.01.2022 r. za odprowadzenie ścieków  na</w:t>
      </w:r>
      <w:r w:rsidR="007D6D5D" w:rsidRPr="00F0151C">
        <w:rPr>
          <w:rFonts w:ascii="Arial" w:hAnsi="Arial" w:cs="Arial"/>
          <w:color w:val="auto"/>
          <w:sz w:val="22"/>
          <w:szCs w:val="22"/>
          <w:lang w:val="pl-PL"/>
        </w:rPr>
        <w:t> </w:t>
      </w:r>
      <w:r w:rsidRPr="00F0151C">
        <w:rPr>
          <w:rFonts w:ascii="Arial" w:hAnsi="Arial" w:cs="Arial"/>
          <w:color w:val="auto"/>
          <w:sz w:val="22"/>
          <w:szCs w:val="22"/>
          <w:lang w:val="pl-PL"/>
        </w:rPr>
        <w:t xml:space="preserve">kwotę 134,30 zł została ujęta w </w:t>
      </w:r>
      <w:r w:rsidR="002B7167" w:rsidRPr="00F0151C">
        <w:rPr>
          <w:rFonts w:ascii="Arial" w:hAnsi="Arial" w:cs="Arial"/>
          <w:color w:val="auto"/>
          <w:sz w:val="22"/>
          <w:szCs w:val="22"/>
          <w:lang w:val="pl-PL"/>
        </w:rPr>
        <w:t xml:space="preserve">całości w </w:t>
      </w:r>
      <w:r w:rsidRPr="00F0151C">
        <w:rPr>
          <w:rFonts w:ascii="Arial" w:hAnsi="Arial" w:cs="Arial"/>
          <w:color w:val="auto"/>
          <w:sz w:val="22"/>
          <w:szCs w:val="22"/>
          <w:lang w:val="pl-PL"/>
        </w:rPr>
        <w:t>kosztach stycznia</w:t>
      </w:r>
      <w:r w:rsidR="002B7167" w:rsidRPr="00F0151C">
        <w:rPr>
          <w:rFonts w:ascii="Arial" w:hAnsi="Arial" w:cs="Arial"/>
          <w:color w:val="auto"/>
          <w:sz w:val="22"/>
          <w:szCs w:val="22"/>
          <w:lang w:val="pl-PL"/>
        </w:rPr>
        <w:t>, pomimo że w części dotyczyła grudnia 2021</w:t>
      </w:r>
      <w:r w:rsidR="00375221" w:rsidRPr="00F0151C">
        <w:rPr>
          <w:rFonts w:ascii="Arial" w:hAnsi="Arial" w:cs="Arial"/>
          <w:color w:val="auto"/>
          <w:sz w:val="22"/>
          <w:szCs w:val="22"/>
          <w:lang w:val="pl-PL"/>
        </w:rPr>
        <w:t> </w:t>
      </w:r>
      <w:r w:rsidR="002B7167" w:rsidRPr="00F0151C">
        <w:rPr>
          <w:rFonts w:ascii="Arial" w:hAnsi="Arial" w:cs="Arial"/>
          <w:color w:val="auto"/>
          <w:sz w:val="22"/>
          <w:szCs w:val="22"/>
          <w:lang w:val="pl-PL"/>
        </w:rPr>
        <w:t xml:space="preserve">r. Ponadto, </w:t>
      </w:r>
      <w:r w:rsidRPr="00F0151C">
        <w:rPr>
          <w:rFonts w:ascii="Arial" w:hAnsi="Arial" w:cs="Arial"/>
          <w:color w:val="auto"/>
          <w:sz w:val="22"/>
          <w:szCs w:val="22"/>
          <w:lang w:val="pl-PL"/>
        </w:rPr>
        <w:t>niewłaściwie zaewidencjonowano zobowiązanie, które należało ująć w</w:t>
      </w:r>
      <w:r w:rsidR="00375221" w:rsidRPr="00F0151C">
        <w:rPr>
          <w:rFonts w:ascii="Arial" w:hAnsi="Arial" w:cs="Arial"/>
          <w:color w:val="auto"/>
          <w:sz w:val="22"/>
          <w:szCs w:val="22"/>
          <w:lang w:val="pl-PL"/>
        </w:rPr>
        <w:t> </w:t>
      </w:r>
      <w:r w:rsidRPr="00F0151C">
        <w:rPr>
          <w:rFonts w:ascii="Arial" w:hAnsi="Arial" w:cs="Arial"/>
          <w:color w:val="auto"/>
          <w:sz w:val="22"/>
          <w:szCs w:val="22"/>
          <w:lang w:val="pl-PL"/>
        </w:rPr>
        <w:t xml:space="preserve">księgach </w:t>
      </w:r>
      <w:r w:rsidR="002B7167" w:rsidRPr="00F0151C">
        <w:rPr>
          <w:rFonts w:ascii="Arial" w:hAnsi="Arial" w:cs="Arial"/>
          <w:color w:val="auto"/>
          <w:sz w:val="22"/>
          <w:szCs w:val="22"/>
          <w:lang w:val="pl-PL"/>
        </w:rPr>
        <w:t>lutego</w:t>
      </w:r>
      <w:r w:rsidRPr="00F0151C">
        <w:rPr>
          <w:rFonts w:ascii="Arial" w:hAnsi="Arial" w:cs="Arial"/>
          <w:color w:val="auto"/>
          <w:sz w:val="22"/>
          <w:szCs w:val="22"/>
          <w:lang w:val="pl-PL"/>
        </w:rPr>
        <w:t>,</w:t>
      </w:r>
    </w:p>
    <w:p w14:paraId="191009D6" w14:textId="708CCAFD" w:rsidR="0086541E" w:rsidRPr="00F0151C" w:rsidRDefault="006862CA" w:rsidP="00026000">
      <w:pPr>
        <w:pStyle w:val="Akapitzlist"/>
        <w:numPr>
          <w:ilvl w:val="0"/>
          <w:numId w:val="29"/>
        </w:numPr>
        <w:tabs>
          <w:tab w:val="left" w:pos="434"/>
        </w:tabs>
        <w:ind w:left="426" w:hanging="426"/>
        <w:rPr>
          <w:rFonts w:ascii="Arial" w:eastAsia="Times New Roman" w:hAnsi="Arial" w:cs="Arial"/>
          <w:color w:val="auto"/>
          <w:spacing w:val="-2"/>
          <w:sz w:val="22"/>
          <w:szCs w:val="22"/>
          <w:lang w:val="pl-PL"/>
        </w:rPr>
      </w:pPr>
      <w:r w:rsidRPr="00F0151C">
        <w:rPr>
          <w:rFonts w:ascii="Arial" w:hAnsi="Arial" w:cs="Arial"/>
          <w:color w:val="auto"/>
          <w:spacing w:val="-2"/>
          <w:sz w:val="22"/>
          <w:szCs w:val="22"/>
          <w:lang w:val="pl-PL"/>
        </w:rPr>
        <w:t>faktur</w:t>
      </w:r>
      <w:r w:rsidR="005F7328" w:rsidRPr="00F0151C">
        <w:rPr>
          <w:rFonts w:ascii="Arial" w:hAnsi="Arial" w:cs="Arial"/>
          <w:color w:val="auto"/>
          <w:spacing w:val="-2"/>
          <w:sz w:val="22"/>
          <w:szCs w:val="22"/>
          <w:lang w:val="pl-PL"/>
        </w:rPr>
        <w:t>y</w:t>
      </w:r>
      <w:r w:rsidRPr="00F0151C">
        <w:rPr>
          <w:rFonts w:ascii="Arial" w:hAnsi="Arial" w:cs="Arial"/>
          <w:color w:val="auto"/>
          <w:spacing w:val="-2"/>
          <w:sz w:val="22"/>
          <w:szCs w:val="22"/>
          <w:lang w:val="pl-PL"/>
        </w:rPr>
        <w:t xml:space="preserve">  nr FA/7/04/2022 wystawion</w:t>
      </w:r>
      <w:r w:rsidR="005F7328" w:rsidRPr="00F0151C">
        <w:rPr>
          <w:rFonts w:ascii="Arial" w:hAnsi="Arial" w:cs="Arial"/>
          <w:color w:val="auto"/>
          <w:spacing w:val="-2"/>
          <w:sz w:val="22"/>
          <w:szCs w:val="22"/>
          <w:lang w:val="pl-PL"/>
        </w:rPr>
        <w:t>ej</w:t>
      </w:r>
      <w:r w:rsidRPr="00F0151C">
        <w:rPr>
          <w:rFonts w:ascii="Arial" w:hAnsi="Arial" w:cs="Arial"/>
          <w:color w:val="auto"/>
          <w:spacing w:val="-2"/>
          <w:sz w:val="22"/>
          <w:szCs w:val="22"/>
          <w:lang w:val="pl-PL"/>
        </w:rPr>
        <w:t xml:space="preserve"> 4.04.2022 r. (data wpływu do zakładu 5.04.2022 r.) z datą wykonania usługi 31.03.2022 r. za utrzymanie czystości na terenach utwardzonych ROM V na kwotę 11 248,61 zł została prawidłowo ujęta w kosztach marca, przy czym niewłaściwie zaewidencjonowano zobowiązanie, które należało ująć w księgach kwietnia</w:t>
      </w:r>
      <w:r w:rsidR="005F7328" w:rsidRPr="00F0151C">
        <w:rPr>
          <w:rFonts w:ascii="Arial" w:hAnsi="Arial" w:cs="Arial"/>
          <w:color w:val="auto"/>
          <w:spacing w:val="-2"/>
          <w:sz w:val="22"/>
          <w:szCs w:val="22"/>
          <w:lang w:val="pl-PL"/>
        </w:rPr>
        <w:t>.</w:t>
      </w:r>
    </w:p>
    <w:p w14:paraId="48881437" w14:textId="3CDBE19E" w:rsidR="00104DE5" w:rsidRPr="00F0151C" w:rsidRDefault="00323A9C" w:rsidP="00104DE5">
      <w:pPr>
        <w:pStyle w:val="Akapitzlist"/>
        <w:numPr>
          <w:ilvl w:val="0"/>
          <w:numId w:val="29"/>
        </w:numPr>
        <w:ind w:left="426" w:hanging="426"/>
        <w:rPr>
          <w:rFonts w:ascii="Arial" w:hAnsi="Arial" w:cs="Arial"/>
          <w:color w:val="auto"/>
          <w:sz w:val="22"/>
          <w:szCs w:val="22"/>
          <w:lang w:val="pl-PL"/>
        </w:rPr>
      </w:pPr>
      <w:r w:rsidRPr="00F0151C">
        <w:rPr>
          <w:rFonts w:ascii="Arial" w:hAnsi="Arial" w:cs="Arial"/>
          <w:color w:val="auto"/>
          <w:sz w:val="22"/>
          <w:szCs w:val="22"/>
          <w:lang w:val="pl-PL"/>
        </w:rPr>
        <w:t>faktury nr 4/02/2022 z 2.02.2022 r. za  utrzymanie czystości w styczniu na kwotę 11</w:t>
      </w:r>
      <w:r w:rsidR="007D6D5D" w:rsidRPr="00F0151C">
        <w:rPr>
          <w:rFonts w:ascii="Arial" w:hAnsi="Arial" w:cs="Arial"/>
          <w:color w:val="auto"/>
          <w:sz w:val="22"/>
          <w:szCs w:val="22"/>
          <w:lang w:val="pl-PL"/>
        </w:rPr>
        <w:t> </w:t>
      </w:r>
      <w:r w:rsidRPr="00F0151C">
        <w:rPr>
          <w:rFonts w:ascii="Arial" w:hAnsi="Arial" w:cs="Arial"/>
          <w:color w:val="auto"/>
          <w:sz w:val="22"/>
          <w:szCs w:val="22"/>
          <w:lang w:val="pl-PL"/>
        </w:rPr>
        <w:t xml:space="preserve">248,61 zł i faktury nr 5/02/2022 z 2.02.2022 </w:t>
      </w:r>
      <w:r w:rsidR="00D96E1A" w:rsidRPr="00F0151C">
        <w:rPr>
          <w:rFonts w:ascii="Arial" w:hAnsi="Arial" w:cs="Arial"/>
          <w:color w:val="auto"/>
          <w:sz w:val="22"/>
          <w:szCs w:val="22"/>
          <w:lang w:val="pl-PL"/>
        </w:rPr>
        <w:t xml:space="preserve">r. </w:t>
      </w:r>
      <w:r w:rsidRPr="00F0151C">
        <w:rPr>
          <w:rFonts w:ascii="Arial" w:hAnsi="Arial" w:cs="Arial"/>
          <w:color w:val="auto"/>
          <w:sz w:val="22"/>
          <w:szCs w:val="22"/>
          <w:lang w:val="pl-PL"/>
        </w:rPr>
        <w:t>na kwotę 9 605,57 zł  w zobowiązaniach stycznia (data wpływu 3.02.2022 r. )</w:t>
      </w:r>
      <w:r w:rsidR="00104DE5" w:rsidRPr="00F0151C">
        <w:rPr>
          <w:rFonts w:ascii="Arial" w:hAnsi="Arial" w:cs="Arial"/>
          <w:color w:val="auto"/>
          <w:sz w:val="22"/>
          <w:szCs w:val="22"/>
          <w:lang w:val="pl-PL"/>
        </w:rPr>
        <w:t>,</w:t>
      </w:r>
    </w:p>
    <w:p w14:paraId="76181A72" w14:textId="0B9F9916" w:rsidR="00104DE5" w:rsidRPr="00F0151C" w:rsidRDefault="00323A9C" w:rsidP="00104DE5">
      <w:pPr>
        <w:pStyle w:val="Akapitzlist"/>
        <w:numPr>
          <w:ilvl w:val="0"/>
          <w:numId w:val="29"/>
        </w:numPr>
        <w:ind w:left="426" w:hanging="426"/>
        <w:rPr>
          <w:rFonts w:ascii="Arial" w:hAnsi="Arial" w:cs="Arial"/>
          <w:color w:val="auto"/>
          <w:sz w:val="22"/>
          <w:szCs w:val="22"/>
          <w:lang w:val="pl-PL"/>
        </w:rPr>
      </w:pPr>
      <w:r w:rsidRPr="00F0151C">
        <w:rPr>
          <w:rFonts w:ascii="Arial" w:hAnsi="Arial" w:cs="Arial"/>
          <w:color w:val="auto"/>
          <w:sz w:val="22"/>
          <w:szCs w:val="22"/>
          <w:lang w:val="pl-PL"/>
        </w:rPr>
        <w:t>fak</w:t>
      </w:r>
      <w:r w:rsidR="00104DE5" w:rsidRPr="00F0151C">
        <w:rPr>
          <w:rFonts w:ascii="Arial" w:hAnsi="Arial" w:cs="Arial"/>
          <w:color w:val="auto"/>
          <w:sz w:val="22"/>
          <w:szCs w:val="22"/>
          <w:lang w:val="pl-PL"/>
        </w:rPr>
        <w:t>tury</w:t>
      </w:r>
      <w:r w:rsidRPr="00F0151C">
        <w:rPr>
          <w:rFonts w:ascii="Arial" w:hAnsi="Arial" w:cs="Arial"/>
          <w:color w:val="auto"/>
          <w:sz w:val="22"/>
          <w:szCs w:val="22"/>
          <w:lang w:val="pl-PL"/>
        </w:rPr>
        <w:t xml:space="preserve"> nr WOD/19612/01/2022 z 1.02.2022</w:t>
      </w:r>
      <w:r w:rsidR="00104DE5" w:rsidRPr="00F0151C">
        <w:rPr>
          <w:rFonts w:ascii="Arial" w:hAnsi="Arial" w:cs="Arial"/>
          <w:color w:val="auto"/>
          <w:sz w:val="22"/>
          <w:szCs w:val="22"/>
          <w:lang w:val="pl-PL"/>
        </w:rPr>
        <w:t xml:space="preserve"> r. </w:t>
      </w:r>
      <w:r w:rsidRPr="00F0151C">
        <w:rPr>
          <w:rFonts w:ascii="Arial" w:hAnsi="Arial" w:cs="Arial"/>
          <w:color w:val="auto"/>
          <w:sz w:val="22"/>
          <w:szCs w:val="22"/>
          <w:lang w:val="pl-PL"/>
        </w:rPr>
        <w:t xml:space="preserve"> za dostawę wody za styczeń na kwotę 104,58 </w:t>
      </w:r>
      <w:r w:rsidR="00104DE5" w:rsidRPr="00F0151C">
        <w:rPr>
          <w:rFonts w:ascii="Arial" w:hAnsi="Arial" w:cs="Arial"/>
          <w:color w:val="auto"/>
          <w:sz w:val="22"/>
          <w:szCs w:val="22"/>
          <w:lang w:val="pl-PL"/>
        </w:rPr>
        <w:t xml:space="preserve">zł (data </w:t>
      </w:r>
      <w:r w:rsidRPr="00F0151C">
        <w:rPr>
          <w:rFonts w:ascii="Arial" w:hAnsi="Arial" w:cs="Arial"/>
          <w:color w:val="auto"/>
          <w:sz w:val="22"/>
          <w:szCs w:val="22"/>
          <w:lang w:val="pl-PL"/>
        </w:rPr>
        <w:t>wpływu 2.02.2022</w:t>
      </w:r>
      <w:r w:rsidR="00104DE5" w:rsidRPr="00F0151C">
        <w:rPr>
          <w:rFonts w:ascii="Arial" w:hAnsi="Arial" w:cs="Arial"/>
          <w:color w:val="auto"/>
          <w:sz w:val="22"/>
          <w:szCs w:val="22"/>
          <w:lang w:val="pl-PL"/>
        </w:rPr>
        <w:t xml:space="preserve"> r.)</w:t>
      </w:r>
      <w:r w:rsidR="00104DE5" w:rsidRPr="00F0151C">
        <w:rPr>
          <w:rFonts w:ascii="Arial" w:eastAsia="Segoe UI" w:hAnsi="Arial" w:cs="Arial"/>
          <w:color w:val="auto"/>
          <w:sz w:val="22"/>
          <w:szCs w:val="22"/>
          <w:lang w:val="pl-PL" w:eastAsia="pl-PL" w:bidi="ar-SA"/>
        </w:rPr>
        <w:t xml:space="preserve"> </w:t>
      </w:r>
      <w:r w:rsidR="007D3016" w:rsidRPr="00F0151C">
        <w:rPr>
          <w:rFonts w:ascii="Arial" w:eastAsia="Segoe UI" w:hAnsi="Arial" w:cs="Arial"/>
          <w:color w:val="auto"/>
          <w:sz w:val="22"/>
          <w:szCs w:val="22"/>
          <w:lang w:val="pl-PL" w:eastAsia="pl-PL" w:bidi="ar-SA"/>
        </w:rPr>
        <w:t xml:space="preserve">którą należało ująć </w:t>
      </w:r>
      <w:r w:rsidR="00104DE5" w:rsidRPr="00F0151C">
        <w:rPr>
          <w:rFonts w:ascii="Arial" w:hAnsi="Arial" w:cs="Arial"/>
          <w:color w:val="auto"/>
          <w:sz w:val="22"/>
          <w:szCs w:val="22"/>
          <w:lang w:val="pl-PL"/>
        </w:rPr>
        <w:t>w zobowiązaniach stycznia,</w:t>
      </w:r>
    </w:p>
    <w:p w14:paraId="3E443005" w14:textId="043B76A0" w:rsidR="00104DE5" w:rsidRPr="00F0151C" w:rsidRDefault="00104DE5" w:rsidP="00104DE5">
      <w:pPr>
        <w:pStyle w:val="Akapitzlist"/>
        <w:numPr>
          <w:ilvl w:val="0"/>
          <w:numId w:val="29"/>
        </w:numPr>
        <w:ind w:left="426" w:hanging="426"/>
        <w:rPr>
          <w:rFonts w:ascii="Arial" w:hAnsi="Arial" w:cs="Arial"/>
          <w:color w:val="auto"/>
          <w:sz w:val="22"/>
          <w:szCs w:val="22"/>
        </w:rPr>
      </w:pPr>
      <w:r w:rsidRPr="00F0151C">
        <w:rPr>
          <w:rFonts w:ascii="Arial" w:hAnsi="Arial" w:cs="Arial"/>
          <w:color w:val="auto"/>
          <w:sz w:val="22"/>
          <w:szCs w:val="22"/>
          <w:lang w:val="pl-PL"/>
        </w:rPr>
        <w:t xml:space="preserve">faktury nr </w:t>
      </w:r>
      <w:r w:rsidR="00323A9C" w:rsidRPr="00F0151C">
        <w:rPr>
          <w:rFonts w:ascii="Arial" w:hAnsi="Arial" w:cs="Arial"/>
          <w:color w:val="auto"/>
          <w:sz w:val="22"/>
          <w:szCs w:val="22"/>
          <w:lang w:val="pl-PL"/>
        </w:rPr>
        <w:t>FA/2/03/2022 z 3.03.2022</w:t>
      </w:r>
      <w:r w:rsidRPr="00F0151C">
        <w:rPr>
          <w:rFonts w:ascii="Arial" w:hAnsi="Arial" w:cs="Arial"/>
          <w:color w:val="auto"/>
          <w:sz w:val="22"/>
          <w:szCs w:val="22"/>
          <w:lang w:val="pl-PL"/>
        </w:rPr>
        <w:t xml:space="preserve"> r.</w:t>
      </w:r>
      <w:r w:rsidR="00323A9C" w:rsidRPr="00F0151C">
        <w:rPr>
          <w:rFonts w:ascii="Arial" w:hAnsi="Arial" w:cs="Arial"/>
          <w:color w:val="auto"/>
          <w:sz w:val="22"/>
          <w:szCs w:val="22"/>
          <w:lang w:val="pl-PL"/>
        </w:rPr>
        <w:t xml:space="preserve"> za utrzymanie czystości </w:t>
      </w:r>
      <w:r w:rsidRPr="00F0151C">
        <w:rPr>
          <w:rFonts w:ascii="Arial" w:hAnsi="Arial" w:cs="Arial"/>
          <w:color w:val="auto"/>
          <w:sz w:val="22"/>
          <w:szCs w:val="22"/>
          <w:lang w:val="pl-PL"/>
        </w:rPr>
        <w:t xml:space="preserve">z </w:t>
      </w:r>
      <w:r w:rsidR="00323A9C" w:rsidRPr="00F0151C">
        <w:rPr>
          <w:rFonts w:ascii="Arial" w:hAnsi="Arial" w:cs="Arial"/>
          <w:color w:val="auto"/>
          <w:sz w:val="22"/>
          <w:szCs w:val="22"/>
          <w:lang w:val="pl-PL"/>
        </w:rPr>
        <w:t>dat</w:t>
      </w:r>
      <w:r w:rsidRPr="00F0151C">
        <w:rPr>
          <w:rFonts w:ascii="Arial" w:hAnsi="Arial" w:cs="Arial"/>
          <w:color w:val="auto"/>
          <w:sz w:val="22"/>
          <w:szCs w:val="22"/>
          <w:lang w:val="pl-PL"/>
        </w:rPr>
        <w:t>ą</w:t>
      </w:r>
      <w:r w:rsidR="00323A9C" w:rsidRPr="00F0151C">
        <w:rPr>
          <w:rFonts w:ascii="Arial" w:hAnsi="Arial" w:cs="Arial"/>
          <w:color w:val="auto"/>
          <w:sz w:val="22"/>
          <w:szCs w:val="22"/>
          <w:lang w:val="pl-PL"/>
        </w:rPr>
        <w:t xml:space="preserve"> wykonania 28.02.2022 </w:t>
      </w:r>
      <w:r w:rsidRPr="00F0151C">
        <w:rPr>
          <w:rFonts w:ascii="Arial" w:hAnsi="Arial" w:cs="Arial"/>
          <w:color w:val="auto"/>
          <w:sz w:val="22"/>
          <w:szCs w:val="22"/>
          <w:lang w:val="pl-PL"/>
        </w:rPr>
        <w:t xml:space="preserve">r. </w:t>
      </w:r>
      <w:r w:rsidR="00323A9C" w:rsidRPr="00F0151C">
        <w:rPr>
          <w:rFonts w:ascii="Arial" w:hAnsi="Arial" w:cs="Arial"/>
          <w:color w:val="auto"/>
          <w:sz w:val="22"/>
          <w:szCs w:val="22"/>
          <w:lang w:val="pl-PL"/>
        </w:rPr>
        <w:t>na kwotę 11 248,61 zł (wpływ 1.03.2022</w:t>
      </w:r>
      <w:r w:rsidRPr="00F0151C">
        <w:rPr>
          <w:rFonts w:ascii="Arial" w:hAnsi="Arial" w:cs="Arial"/>
          <w:color w:val="auto"/>
          <w:sz w:val="22"/>
          <w:szCs w:val="22"/>
          <w:lang w:val="pl-PL"/>
        </w:rPr>
        <w:t xml:space="preserve"> r.) </w:t>
      </w:r>
      <w:r w:rsidR="007D3016" w:rsidRPr="00F0151C">
        <w:rPr>
          <w:rFonts w:ascii="Arial" w:hAnsi="Arial" w:cs="Arial"/>
          <w:color w:val="auto"/>
          <w:sz w:val="22"/>
          <w:szCs w:val="22"/>
          <w:lang w:val="pl-PL"/>
        </w:rPr>
        <w:t xml:space="preserve">którą należało ująć </w:t>
      </w:r>
      <w:r w:rsidRPr="00F0151C">
        <w:rPr>
          <w:rFonts w:ascii="Arial" w:hAnsi="Arial" w:cs="Arial"/>
          <w:color w:val="auto"/>
          <w:sz w:val="22"/>
          <w:szCs w:val="22"/>
          <w:lang w:val="pl-PL"/>
        </w:rPr>
        <w:t>w</w:t>
      </w:r>
      <w:r w:rsidR="008F191A" w:rsidRPr="00F0151C">
        <w:rPr>
          <w:rFonts w:ascii="Arial" w:hAnsi="Arial" w:cs="Arial"/>
          <w:color w:val="auto"/>
          <w:sz w:val="22"/>
          <w:szCs w:val="22"/>
          <w:lang w:val="pl-PL"/>
        </w:rPr>
        <w:t> </w:t>
      </w:r>
      <w:r w:rsidRPr="00F0151C">
        <w:rPr>
          <w:rFonts w:ascii="Arial" w:hAnsi="Arial" w:cs="Arial"/>
          <w:color w:val="auto"/>
          <w:sz w:val="22"/>
          <w:szCs w:val="22"/>
          <w:lang w:val="pl-PL"/>
        </w:rPr>
        <w:t>zobowiązaniach lutego</w:t>
      </w:r>
      <w:r w:rsidRPr="00F0151C">
        <w:rPr>
          <w:rFonts w:ascii="Arial" w:hAnsi="Arial" w:cs="Arial"/>
          <w:color w:val="auto"/>
          <w:sz w:val="22"/>
          <w:szCs w:val="22"/>
        </w:rPr>
        <w:t xml:space="preserve">, </w:t>
      </w:r>
    </w:p>
    <w:p w14:paraId="60494ED5" w14:textId="6B71910D" w:rsidR="00323A9C" w:rsidRPr="00F0151C" w:rsidRDefault="00323A9C" w:rsidP="001A74D0">
      <w:pPr>
        <w:pStyle w:val="Akapitzlist"/>
        <w:numPr>
          <w:ilvl w:val="0"/>
          <w:numId w:val="29"/>
        </w:numPr>
        <w:ind w:left="426" w:hanging="426"/>
        <w:rPr>
          <w:rFonts w:ascii="Arial" w:hAnsi="Arial" w:cs="Arial"/>
          <w:color w:val="auto"/>
          <w:sz w:val="22"/>
          <w:szCs w:val="22"/>
          <w:lang w:val="pl-PL"/>
        </w:rPr>
      </w:pPr>
      <w:r w:rsidRPr="00F0151C">
        <w:rPr>
          <w:rFonts w:ascii="Arial" w:hAnsi="Arial" w:cs="Arial"/>
          <w:color w:val="auto"/>
          <w:sz w:val="22"/>
          <w:szCs w:val="22"/>
          <w:lang w:val="pl-PL"/>
        </w:rPr>
        <w:t>fak</w:t>
      </w:r>
      <w:r w:rsidR="00104DE5" w:rsidRPr="00F0151C">
        <w:rPr>
          <w:rFonts w:ascii="Arial" w:hAnsi="Arial" w:cs="Arial"/>
          <w:color w:val="auto"/>
          <w:sz w:val="22"/>
          <w:szCs w:val="22"/>
          <w:lang w:val="pl-PL"/>
        </w:rPr>
        <w:t xml:space="preserve">tury nr </w:t>
      </w:r>
      <w:r w:rsidRPr="00F0151C">
        <w:rPr>
          <w:rFonts w:ascii="Arial" w:hAnsi="Arial" w:cs="Arial"/>
          <w:color w:val="auto"/>
          <w:sz w:val="22"/>
          <w:szCs w:val="22"/>
          <w:lang w:val="pl-PL"/>
        </w:rPr>
        <w:t xml:space="preserve"> FA/1/03/2022 z 3.03.2022</w:t>
      </w:r>
      <w:r w:rsidR="00104DE5" w:rsidRPr="00F0151C">
        <w:rPr>
          <w:rFonts w:ascii="Arial" w:hAnsi="Arial" w:cs="Arial"/>
          <w:color w:val="auto"/>
          <w:sz w:val="22"/>
          <w:szCs w:val="22"/>
          <w:lang w:val="pl-PL"/>
        </w:rPr>
        <w:t xml:space="preserve"> r.</w:t>
      </w:r>
      <w:r w:rsidRPr="00F0151C">
        <w:rPr>
          <w:rFonts w:ascii="Arial" w:hAnsi="Arial" w:cs="Arial"/>
          <w:color w:val="auto"/>
          <w:sz w:val="22"/>
          <w:szCs w:val="22"/>
          <w:lang w:val="pl-PL"/>
        </w:rPr>
        <w:t xml:space="preserve"> za wykonanie w lutym utrzymania czysto</w:t>
      </w:r>
      <w:r w:rsidR="001A74D0" w:rsidRPr="00F0151C">
        <w:rPr>
          <w:rFonts w:ascii="Arial" w:hAnsi="Arial" w:cs="Arial"/>
          <w:color w:val="auto"/>
          <w:sz w:val="22"/>
          <w:szCs w:val="22"/>
          <w:lang w:val="pl-PL"/>
        </w:rPr>
        <w:t xml:space="preserve">ści </w:t>
      </w:r>
      <w:r w:rsidRPr="00F0151C">
        <w:rPr>
          <w:rFonts w:ascii="Arial" w:hAnsi="Arial" w:cs="Arial"/>
          <w:color w:val="auto"/>
          <w:sz w:val="22"/>
          <w:szCs w:val="22"/>
          <w:lang w:val="pl-PL"/>
        </w:rPr>
        <w:t xml:space="preserve"> na kwotę 9</w:t>
      </w:r>
      <w:r w:rsidR="001A74D0" w:rsidRPr="00F0151C">
        <w:rPr>
          <w:rFonts w:ascii="Arial" w:hAnsi="Arial" w:cs="Arial"/>
          <w:color w:val="auto"/>
          <w:sz w:val="22"/>
          <w:szCs w:val="22"/>
          <w:lang w:val="pl-PL"/>
        </w:rPr>
        <w:t xml:space="preserve"> </w:t>
      </w:r>
      <w:r w:rsidRPr="00F0151C">
        <w:rPr>
          <w:rFonts w:ascii="Arial" w:hAnsi="Arial" w:cs="Arial"/>
          <w:color w:val="auto"/>
          <w:sz w:val="22"/>
          <w:szCs w:val="22"/>
          <w:lang w:val="pl-PL"/>
        </w:rPr>
        <w:t>605,57 zł (data w</w:t>
      </w:r>
      <w:r w:rsidR="001A74D0" w:rsidRPr="00F0151C">
        <w:rPr>
          <w:rFonts w:ascii="Arial" w:hAnsi="Arial" w:cs="Arial"/>
          <w:color w:val="auto"/>
          <w:sz w:val="22"/>
          <w:szCs w:val="22"/>
          <w:lang w:val="pl-PL"/>
        </w:rPr>
        <w:t>pł</w:t>
      </w:r>
      <w:r w:rsidRPr="00F0151C">
        <w:rPr>
          <w:rFonts w:ascii="Arial" w:hAnsi="Arial" w:cs="Arial"/>
          <w:color w:val="auto"/>
          <w:sz w:val="22"/>
          <w:szCs w:val="22"/>
          <w:lang w:val="pl-PL"/>
        </w:rPr>
        <w:t>ywu 7.03.2022</w:t>
      </w:r>
      <w:r w:rsidR="001A74D0" w:rsidRPr="00F0151C">
        <w:rPr>
          <w:rFonts w:ascii="Arial" w:hAnsi="Arial" w:cs="Arial"/>
          <w:color w:val="auto"/>
          <w:sz w:val="22"/>
          <w:szCs w:val="22"/>
          <w:lang w:val="pl-PL"/>
        </w:rPr>
        <w:t xml:space="preserve"> r</w:t>
      </w:r>
      <w:r w:rsidR="007D3016" w:rsidRPr="00F0151C">
        <w:rPr>
          <w:rFonts w:ascii="Arial" w:hAnsi="Arial" w:cs="Arial"/>
          <w:color w:val="auto"/>
          <w:sz w:val="22"/>
          <w:szCs w:val="22"/>
          <w:lang w:val="pl-PL"/>
        </w:rPr>
        <w:t>) którą należało ująć</w:t>
      </w:r>
      <w:r w:rsidR="001A74D0" w:rsidRPr="00F0151C">
        <w:rPr>
          <w:rFonts w:ascii="Arial" w:hAnsi="Arial" w:cs="Arial"/>
          <w:color w:val="auto"/>
          <w:sz w:val="22"/>
          <w:szCs w:val="22"/>
          <w:lang w:val="pl-PL"/>
        </w:rPr>
        <w:t xml:space="preserve"> w zobowiązaniach lutego,</w:t>
      </w:r>
    </w:p>
    <w:p w14:paraId="6D2CF6DE" w14:textId="6677F2E0" w:rsidR="00FB3DBC" w:rsidRPr="00F0151C" w:rsidRDefault="00FB3DBC" w:rsidP="00384BC5">
      <w:pPr>
        <w:pStyle w:val="Akapitzlist"/>
        <w:numPr>
          <w:ilvl w:val="0"/>
          <w:numId w:val="34"/>
        </w:numPr>
        <w:tabs>
          <w:tab w:val="left" w:pos="434"/>
        </w:tabs>
        <w:ind w:left="426" w:hanging="426"/>
        <w:rPr>
          <w:rFonts w:ascii="Arial" w:eastAsia="Times New Roman" w:hAnsi="Arial" w:cs="Arial"/>
          <w:color w:val="auto"/>
          <w:spacing w:val="-2"/>
          <w:sz w:val="22"/>
          <w:szCs w:val="22"/>
          <w:lang w:val="pl-PL"/>
        </w:rPr>
      </w:pPr>
      <w:bookmarkStart w:id="17" w:name="_Hlk147299881"/>
      <w:r w:rsidRPr="00F0151C">
        <w:rPr>
          <w:rFonts w:ascii="Arial" w:eastAsia="Times New Roman" w:hAnsi="Arial" w:cs="Arial"/>
          <w:color w:val="auto"/>
          <w:spacing w:val="-2"/>
          <w:sz w:val="22"/>
          <w:szCs w:val="22"/>
          <w:lang w:val="pl-PL"/>
        </w:rPr>
        <w:t>Niestosowanie zasady memoriału wynikającej z art. 6 uor na przełomie roku</w:t>
      </w:r>
      <w:bookmarkEnd w:id="17"/>
      <w:r w:rsidRPr="00F0151C">
        <w:rPr>
          <w:rFonts w:ascii="Arial" w:eastAsia="Times New Roman" w:hAnsi="Arial" w:cs="Arial"/>
          <w:color w:val="auto"/>
          <w:spacing w:val="-2"/>
          <w:sz w:val="22"/>
          <w:szCs w:val="22"/>
          <w:lang w:val="pl-PL"/>
        </w:rPr>
        <w:t xml:space="preserve"> poprzez nieujęcie w kosztach miesiąca grudnia 2022 r. następujących faktur:</w:t>
      </w:r>
    </w:p>
    <w:p w14:paraId="3A76FEA6" w14:textId="77777777" w:rsidR="00FB3DBC" w:rsidRPr="00F0151C" w:rsidRDefault="00FB3DBC" w:rsidP="00384BC5">
      <w:pPr>
        <w:pStyle w:val="Akapitzlist"/>
        <w:numPr>
          <w:ilvl w:val="0"/>
          <w:numId w:val="29"/>
        </w:numPr>
        <w:tabs>
          <w:tab w:val="left" w:pos="434"/>
        </w:tabs>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faktura nr WOD/14044/01/2022 z 24.01.2022 r. na kwotę  194,85 zł z tytułu rozliczenia sprzedaży wody  za okres od 16.12.2021 r. do 20.01.2022 r. (data wpływu do MZBM 26.01.2022 r.) ujęta została w kosztach stycznia (dowód 136/01/023),</w:t>
      </w:r>
    </w:p>
    <w:p w14:paraId="0213E76C" w14:textId="77777777" w:rsidR="00FB3DBC" w:rsidRPr="00F0151C" w:rsidRDefault="00FB3DBC" w:rsidP="00384BC5">
      <w:pPr>
        <w:pStyle w:val="Akapitzlist"/>
        <w:numPr>
          <w:ilvl w:val="0"/>
          <w:numId w:val="29"/>
        </w:numPr>
        <w:tabs>
          <w:tab w:val="left" w:pos="434"/>
        </w:tabs>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faktura nr WOD/14047/01/2022 z 24.01.2022 r. na kwotę  904,09 zł z tytułu rozliczenia sprzedaży wody  za okres od 16.12.2021 r. do 20.01.2022 r. (data wpływu do MZBM 26.01.2022 r.) ujęta została w kosztach stycznia (dowód 136/01/024),</w:t>
      </w:r>
    </w:p>
    <w:p w14:paraId="406359EE" w14:textId="17B4A64F" w:rsidR="00104DE5" w:rsidRPr="00F0151C" w:rsidRDefault="00FB3DBC" w:rsidP="00104DE5">
      <w:pPr>
        <w:pStyle w:val="Akapitzlist"/>
        <w:numPr>
          <w:ilvl w:val="0"/>
          <w:numId w:val="29"/>
        </w:numPr>
        <w:tabs>
          <w:tab w:val="left" w:pos="434"/>
        </w:tabs>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faktura nr 765/01/2022/E6 z 4.02.2022 r. na kwotę 994,65 zł za odprowadzenie ścieków za okres od 23.12.2021 r. do 25.01.2022 r. (data wpływu do MZBM 9.02.2022 r.) ujęta została w całości </w:t>
      </w:r>
      <w:r w:rsidR="00201C33" w:rsidRPr="00F0151C">
        <w:rPr>
          <w:rFonts w:ascii="Arial" w:hAnsi="Arial" w:cs="Arial"/>
          <w:color w:val="auto"/>
          <w:spacing w:val="-2"/>
          <w:sz w:val="22"/>
          <w:szCs w:val="22"/>
          <w:lang w:val="pl-PL"/>
        </w:rPr>
        <w:t xml:space="preserve">w </w:t>
      </w:r>
      <w:r w:rsidRPr="00F0151C">
        <w:rPr>
          <w:rFonts w:ascii="Arial" w:hAnsi="Arial" w:cs="Arial"/>
          <w:color w:val="auto"/>
          <w:spacing w:val="-2"/>
          <w:sz w:val="22"/>
          <w:szCs w:val="22"/>
          <w:lang w:val="pl-PL"/>
        </w:rPr>
        <w:t>kosztach stycznia (dowód 136/01/054)</w:t>
      </w:r>
      <w:r w:rsidR="00104DE5" w:rsidRPr="00F0151C">
        <w:rPr>
          <w:rFonts w:ascii="Arial" w:hAnsi="Arial" w:cs="Arial"/>
          <w:color w:val="auto"/>
          <w:spacing w:val="-2"/>
          <w:sz w:val="22"/>
          <w:szCs w:val="22"/>
          <w:lang w:val="pl-PL"/>
        </w:rPr>
        <w:t>,</w:t>
      </w:r>
    </w:p>
    <w:p w14:paraId="51FBD8AB" w14:textId="2A049EC0" w:rsidR="00104DE5" w:rsidRPr="00F0151C" w:rsidRDefault="00104DE5" w:rsidP="00104DE5">
      <w:pPr>
        <w:pStyle w:val="Akapitzlist"/>
        <w:numPr>
          <w:ilvl w:val="0"/>
          <w:numId w:val="29"/>
        </w:numPr>
        <w:tabs>
          <w:tab w:val="left" w:pos="434"/>
        </w:tabs>
        <w:ind w:left="426" w:hanging="426"/>
        <w:rPr>
          <w:rFonts w:ascii="Arial" w:hAnsi="Arial" w:cs="Arial"/>
          <w:color w:val="auto"/>
          <w:spacing w:val="-2"/>
          <w:sz w:val="22"/>
          <w:szCs w:val="22"/>
          <w:lang w:val="pl-PL"/>
        </w:rPr>
      </w:pPr>
      <w:r w:rsidRPr="00F0151C">
        <w:rPr>
          <w:rFonts w:ascii="Arial" w:hAnsi="Arial" w:cs="Arial"/>
          <w:color w:val="auto"/>
          <w:sz w:val="22"/>
          <w:szCs w:val="22"/>
          <w:lang w:val="pl-PL"/>
        </w:rPr>
        <w:t>faktura nr F/19/01/2022 z 14</w:t>
      </w:r>
      <w:r w:rsidR="00594F4A" w:rsidRPr="00F0151C">
        <w:rPr>
          <w:rFonts w:ascii="Arial" w:hAnsi="Arial" w:cs="Arial"/>
          <w:color w:val="auto"/>
          <w:sz w:val="22"/>
          <w:szCs w:val="22"/>
          <w:lang w:val="pl-PL"/>
        </w:rPr>
        <w:t>.</w:t>
      </w:r>
      <w:r w:rsidRPr="00F0151C">
        <w:rPr>
          <w:rFonts w:ascii="Arial" w:hAnsi="Arial" w:cs="Arial"/>
          <w:color w:val="auto"/>
          <w:sz w:val="22"/>
          <w:szCs w:val="22"/>
          <w:lang w:val="pl-PL"/>
        </w:rPr>
        <w:t>01.2022 r. za koszty zastępstwa procesowego ROM V na 5 000 zł z  datą wykonania usługi 10.12.2021 r. i   datą wpływu 24.02.2022 r.  ujęto w</w:t>
      </w:r>
      <w:r w:rsidR="007D6D5D" w:rsidRPr="00F0151C">
        <w:rPr>
          <w:rFonts w:ascii="Arial" w:hAnsi="Arial" w:cs="Arial"/>
          <w:color w:val="auto"/>
          <w:sz w:val="22"/>
          <w:szCs w:val="22"/>
          <w:lang w:val="pl-PL"/>
        </w:rPr>
        <w:t> </w:t>
      </w:r>
      <w:r w:rsidRPr="00F0151C">
        <w:rPr>
          <w:rFonts w:ascii="Arial" w:hAnsi="Arial" w:cs="Arial"/>
          <w:color w:val="auto"/>
          <w:sz w:val="22"/>
          <w:szCs w:val="22"/>
          <w:lang w:val="pl-PL"/>
        </w:rPr>
        <w:t>kosztach  lutego</w:t>
      </w:r>
      <w:r w:rsidR="001A74D0" w:rsidRPr="00F0151C">
        <w:rPr>
          <w:rFonts w:ascii="Arial" w:hAnsi="Arial" w:cs="Arial"/>
          <w:color w:val="auto"/>
          <w:sz w:val="22"/>
          <w:szCs w:val="22"/>
          <w:lang w:val="pl-PL"/>
        </w:rPr>
        <w:t>,</w:t>
      </w:r>
    </w:p>
    <w:p w14:paraId="4E611281" w14:textId="6A98F7C6" w:rsidR="001A74D0" w:rsidRPr="00F0151C" w:rsidRDefault="001A74D0" w:rsidP="001A74D0">
      <w:pPr>
        <w:pStyle w:val="Akapitzlist"/>
        <w:numPr>
          <w:ilvl w:val="0"/>
          <w:numId w:val="29"/>
        </w:numPr>
        <w:ind w:left="426" w:hanging="426"/>
        <w:rPr>
          <w:rFonts w:ascii="Arial" w:hAnsi="Arial" w:cs="Arial"/>
          <w:color w:val="auto"/>
          <w:sz w:val="22"/>
          <w:szCs w:val="22"/>
          <w:lang w:val="pl-PL"/>
        </w:rPr>
      </w:pPr>
      <w:r w:rsidRPr="00F0151C">
        <w:rPr>
          <w:rFonts w:ascii="Arial" w:hAnsi="Arial" w:cs="Arial"/>
          <w:color w:val="auto"/>
          <w:sz w:val="22"/>
          <w:szCs w:val="22"/>
          <w:lang w:val="pl-PL"/>
        </w:rPr>
        <w:t>faktur</w:t>
      </w:r>
      <w:r w:rsidR="00594F4A" w:rsidRPr="00F0151C">
        <w:rPr>
          <w:rFonts w:ascii="Arial" w:hAnsi="Arial" w:cs="Arial"/>
          <w:color w:val="auto"/>
          <w:sz w:val="22"/>
          <w:szCs w:val="22"/>
          <w:lang w:val="pl-PL"/>
        </w:rPr>
        <w:t>a</w:t>
      </w:r>
      <w:r w:rsidRPr="00F0151C">
        <w:rPr>
          <w:rFonts w:ascii="Arial" w:hAnsi="Arial" w:cs="Arial"/>
          <w:color w:val="auto"/>
          <w:sz w:val="22"/>
          <w:szCs w:val="22"/>
          <w:lang w:val="pl-PL"/>
        </w:rPr>
        <w:t xml:space="preserve"> nr 2979964/4/2022/f z 9.03.2022 r. z datą sprzedaży 31.12.2021 r.  za gaz na kwotę 812,92  zł (data wpływu 16.03.2022 r.) ujęt</w:t>
      </w:r>
      <w:r w:rsidR="00594F4A" w:rsidRPr="00F0151C">
        <w:rPr>
          <w:rFonts w:ascii="Arial" w:hAnsi="Arial" w:cs="Arial"/>
          <w:color w:val="auto"/>
          <w:sz w:val="22"/>
          <w:szCs w:val="22"/>
          <w:lang w:val="pl-PL"/>
        </w:rPr>
        <w:t>a</w:t>
      </w:r>
      <w:r w:rsidRPr="00F0151C">
        <w:rPr>
          <w:rFonts w:ascii="Arial" w:hAnsi="Arial" w:cs="Arial"/>
          <w:color w:val="auto"/>
          <w:sz w:val="22"/>
          <w:szCs w:val="22"/>
          <w:lang w:val="pl-PL"/>
        </w:rPr>
        <w:t xml:space="preserve"> w kosztach marca.</w:t>
      </w:r>
    </w:p>
    <w:p w14:paraId="740F4FB4" w14:textId="6EF799A3" w:rsidR="0038677E" w:rsidRPr="00F0151C" w:rsidRDefault="006477FE" w:rsidP="0006122F">
      <w:pPr>
        <w:pStyle w:val="Standard"/>
        <w:widowControl w:val="0"/>
        <w:numPr>
          <w:ilvl w:val="0"/>
          <w:numId w:val="13"/>
        </w:numPr>
        <w:tabs>
          <w:tab w:val="left" w:pos="-2410"/>
          <w:tab w:val="left" w:pos="567"/>
        </w:tabs>
        <w:spacing w:after="0" w:line="360" w:lineRule="auto"/>
        <w:ind w:left="0" w:firstLine="0"/>
        <w:jc w:val="both"/>
        <w:rPr>
          <w:rFonts w:ascii="Arial" w:eastAsia="Times New Roman" w:hAnsi="Arial" w:cs="Arial"/>
          <w:color w:val="auto"/>
          <w:spacing w:val="-2"/>
        </w:rPr>
      </w:pPr>
      <w:bookmarkStart w:id="18" w:name="_Hlk147300079"/>
      <w:r w:rsidRPr="00F0151C">
        <w:rPr>
          <w:rFonts w:ascii="Arial" w:eastAsia="Times New Roman" w:hAnsi="Arial" w:cs="Arial"/>
          <w:color w:val="auto"/>
          <w:spacing w:val="-2"/>
        </w:rPr>
        <w:lastRenderedPageBreak/>
        <w:t xml:space="preserve">Ujmowanie </w:t>
      </w:r>
      <w:r w:rsidR="0049253E" w:rsidRPr="00F0151C">
        <w:rPr>
          <w:rFonts w:ascii="Arial" w:eastAsia="Times New Roman" w:hAnsi="Arial" w:cs="Arial"/>
          <w:color w:val="auto"/>
          <w:spacing w:val="-2"/>
        </w:rPr>
        <w:t xml:space="preserve">środków wpłaconych omyłkowo na rachunek bankowy </w:t>
      </w:r>
      <w:r w:rsidRPr="00F0151C">
        <w:rPr>
          <w:rFonts w:ascii="Arial" w:eastAsia="Times New Roman" w:hAnsi="Arial" w:cs="Arial"/>
          <w:color w:val="auto"/>
          <w:spacing w:val="-2"/>
        </w:rPr>
        <w:t>na</w:t>
      </w:r>
      <w:r w:rsidR="0049253E" w:rsidRPr="00F0151C">
        <w:rPr>
          <w:rFonts w:ascii="Arial" w:eastAsia="Times New Roman" w:hAnsi="Arial" w:cs="Arial"/>
          <w:color w:val="auto"/>
          <w:spacing w:val="-2"/>
        </w:rPr>
        <w:t xml:space="preserve"> koncie</w:t>
      </w:r>
      <w:r w:rsidRPr="00F0151C">
        <w:rPr>
          <w:rFonts w:ascii="Arial" w:eastAsia="Times New Roman" w:hAnsi="Arial" w:cs="Arial"/>
          <w:color w:val="auto"/>
          <w:spacing w:val="-2"/>
        </w:rPr>
        <w:t xml:space="preserve"> 245</w:t>
      </w:r>
      <w:r w:rsidR="0049253E" w:rsidRPr="00F0151C">
        <w:rPr>
          <w:rFonts w:ascii="Arial" w:eastAsia="Times New Roman" w:hAnsi="Arial" w:cs="Arial"/>
          <w:color w:val="auto"/>
          <w:spacing w:val="-2"/>
        </w:rPr>
        <w:t xml:space="preserve"> </w:t>
      </w:r>
      <w:r w:rsidR="0049253E" w:rsidRPr="00F0151C">
        <w:rPr>
          <w:rFonts w:ascii="Arial" w:eastAsia="Times New Roman" w:hAnsi="Arial" w:cs="Arial"/>
          <w:i/>
          <w:iCs/>
          <w:color w:val="auto"/>
          <w:spacing w:val="-2"/>
        </w:rPr>
        <w:t>Wpływy do wyjaśnienia</w:t>
      </w:r>
      <w:r w:rsidRPr="00F0151C">
        <w:rPr>
          <w:rFonts w:ascii="Arial" w:eastAsia="Times New Roman" w:hAnsi="Arial" w:cs="Arial"/>
          <w:color w:val="auto"/>
          <w:spacing w:val="-2"/>
        </w:rPr>
        <w:t xml:space="preserve"> zamiast na </w:t>
      </w:r>
      <w:r w:rsidR="0049253E" w:rsidRPr="00F0151C">
        <w:rPr>
          <w:rFonts w:ascii="Arial" w:eastAsia="Times New Roman" w:hAnsi="Arial" w:cs="Arial"/>
          <w:color w:val="auto"/>
          <w:spacing w:val="-2"/>
        </w:rPr>
        <w:t xml:space="preserve">koncie </w:t>
      </w:r>
      <w:r w:rsidRPr="00F0151C">
        <w:rPr>
          <w:rFonts w:ascii="Arial" w:eastAsia="Times New Roman" w:hAnsi="Arial" w:cs="Arial"/>
          <w:color w:val="auto"/>
          <w:spacing w:val="-2"/>
        </w:rPr>
        <w:t>240</w:t>
      </w:r>
      <w:r w:rsidR="0049253E" w:rsidRPr="00F0151C">
        <w:rPr>
          <w:rFonts w:ascii="Arial" w:eastAsia="Times New Roman" w:hAnsi="Arial" w:cs="Arial"/>
          <w:color w:val="auto"/>
          <w:spacing w:val="-2"/>
        </w:rPr>
        <w:t xml:space="preserve"> </w:t>
      </w:r>
      <w:r w:rsidR="0049253E" w:rsidRPr="00F0151C">
        <w:rPr>
          <w:rFonts w:ascii="Arial" w:eastAsia="Times New Roman" w:hAnsi="Arial" w:cs="Arial"/>
          <w:i/>
          <w:iCs/>
          <w:color w:val="auto"/>
          <w:spacing w:val="-2"/>
        </w:rPr>
        <w:t>Pozostałe rozrachunki</w:t>
      </w:r>
      <w:bookmarkEnd w:id="18"/>
      <w:r w:rsidR="0049253E" w:rsidRPr="00F0151C">
        <w:rPr>
          <w:rFonts w:ascii="Arial" w:eastAsia="Times New Roman" w:hAnsi="Arial" w:cs="Arial"/>
          <w:color w:val="auto"/>
          <w:spacing w:val="-2"/>
        </w:rPr>
        <w:t xml:space="preserve"> – z odpowiednią analityką. Zgodnie z opisem zawartym w załączniku nr 3 do rozporządzenia Ministra Rozwoju i Finansów z dnia 13 września 2017 r. w sprawie rachunkowości oraz planów kont dla budżetu państwa, budżetów jednostek samorządu terytorialnego, jednostek budżetowych, samorządowych zakładów budżetowych</w:t>
      </w:r>
      <w:r w:rsidR="003D6166" w:rsidRPr="00F0151C">
        <w:rPr>
          <w:rFonts w:ascii="Arial" w:eastAsia="Times New Roman" w:hAnsi="Arial" w:cs="Arial"/>
          <w:color w:val="auto"/>
          <w:spacing w:val="-2"/>
        </w:rPr>
        <w:t xml:space="preserve"> (…) </w:t>
      </w:r>
      <w:r w:rsidR="0049253E" w:rsidRPr="00F0151C">
        <w:rPr>
          <w:rFonts w:ascii="Arial" w:eastAsia="Times New Roman" w:hAnsi="Arial" w:cs="Arial"/>
          <w:color w:val="auto"/>
          <w:spacing w:val="-2"/>
        </w:rPr>
        <w:t>służy do ewidencji wpłaconych na rachunki bankowe jednostki</w:t>
      </w:r>
      <w:r w:rsidR="0004165B" w:rsidRPr="00F0151C">
        <w:rPr>
          <w:rFonts w:ascii="Arial" w:eastAsia="Times New Roman" w:hAnsi="Arial" w:cs="Arial"/>
          <w:color w:val="auto"/>
          <w:spacing w:val="-2"/>
        </w:rPr>
        <w:t>, a</w:t>
      </w:r>
      <w:r w:rsidR="003D6166" w:rsidRPr="00F0151C">
        <w:rPr>
          <w:rFonts w:ascii="Arial" w:eastAsia="Times New Roman" w:hAnsi="Arial" w:cs="Arial"/>
          <w:color w:val="auto"/>
          <w:spacing w:val="-2"/>
        </w:rPr>
        <w:t> </w:t>
      </w:r>
      <w:r w:rsidR="0004165B" w:rsidRPr="00F0151C">
        <w:rPr>
          <w:rFonts w:ascii="Arial" w:eastAsia="Times New Roman" w:hAnsi="Arial" w:cs="Arial"/>
          <w:color w:val="auto"/>
          <w:spacing w:val="-2"/>
        </w:rPr>
        <w:t>niewyjaśnionych kwot należności z tytułów dochodów budżetowych i</w:t>
      </w:r>
      <w:r w:rsidR="00176E52">
        <w:rPr>
          <w:rFonts w:ascii="Arial" w:eastAsia="Times New Roman" w:hAnsi="Arial" w:cs="Arial"/>
          <w:color w:val="auto"/>
          <w:spacing w:val="-2"/>
        </w:rPr>
        <w:t> </w:t>
      </w:r>
      <w:r w:rsidR="0004165B" w:rsidRPr="00F0151C">
        <w:rPr>
          <w:rFonts w:ascii="Arial" w:eastAsia="Times New Roman" w:hAnsi="Arial" w:cs="Arial"/>
          <w:color w:val="auto"/>
          <w:spacing w:val="-2"/>
        </w:rPr>
        <w:t>innych tytułów. W</w:t>
      </w:r>
      <w:r w:rsidR="003D6166" w:rsidRPr="00F0151C">
        <w:rPr>
          <w:rFonts w:ascii="Arial" w:eastAsia="Times New Roman" w:hAnsi="Arial" w:cs="Arial"/>
          <w:color w:val="auto"/>
          <w:spacing w:val="-2"/>
        </w:rPr>
        <w:t> </w:t>
      </w:r>
      <w:r w:rsidR="0004165B" w:rsidRPr="00F0151C">
        <w:rPr>
          <w:rFonts w:ascii="Arial" w:eastAsia="Times New Roman" w:hAnsi="Arial" w:cs="Arial"/>
          <w:color w:val="auto"/>
          <w:spacing w:val="-2"/>
        </w:rPr>
        <w:t>Komentarzu do planu kont dla jednostek budżetowych i samorządowych zakładów budżetowych oraz dla budżetów jednostek samorządu terytorialnego (M.</w:t>
      </w:r>
      <w:r w:rsidR="004F74DE">
        <w:rPr>
          <w:rFonts w:ascii="Arial" w:eastAsia="Times New Roman" w:hAnsi="Arial" w:cs="Arial"/>
          <w:color w:val="auto"/>
          <w:spacing w:val="-2"/>
        </w:rPr>
        <w:t> </w:t>
      </w:r>
      <w:r w:rsidR="0004165B" w:rsidRPr="00F0151C">
        <w:rPr>
          <w:rFonts w:ascii="Arial" w:eastAsia="Times New Roman" w:hAnsi="Arial" w:cs="Arial"/>
          <w:color w:val="auto"/>
          <w:spacing w:val="-2"/>
        </w:rPr>
        <w:t>Augustowska, W.</w:t>
      </w:r>
      <w:r w:rsidR="007D6D5D" w:rsidRPr="00F0151C">
        <w:rPr>
          <w:rFonts w:ascii="Arial" w:eastAsia="Times New Roman" w:hAnsi="Arial" w:cs="Arial"/>
          <w:color w:val="auto"/>
          <w:spacing w:val="-2"/>
        </w:rPr>
        <w:t> </w:t>
      </w:r>
      <w:proofErr w:type="spellStart"/>
      <w:r w:rsidR="0004165B" w:rsidRPr="00F0151C">
        <w:rPr>
          <w:rFonts w:ascii="Arial" w:eastAsia="Times New Roman" w:hAnsi="Arial" w:cs="Arial"/>
          <w:color w:val="auto"/>
          <w:spacing w:val="-2"/>
        </w:rPr>
        <w:t>Rup</w:t>
      </w:r>
      <w:proofErr w:type="spellEnd"/>
      <w:r w:rsidR="0004165B" w:rsidRPr="00F0151C">
        <w:rPr>
          <w:rFonts w:ascii="Arial" w:eastAsia="Times New Roman" w:hAnsi="Arial" w:cs="Arial"/>
          <w:color w:val="auto"/>
          <w:spacing w:val="-2"/>
        </w:rPr>
        <w:t>, Gdańsk 2022, s. 113) autor wskazał, że „Zapisy księgowe w</w:t>
      </w:r>
      <w:r w:rsidR="004F74DE">
        <w:rPr>
          <w:rFonts w:ascii="Arial" w:eastAsia="Times New Roman" w:hAnsi="Arial" w:cs="Arial"/>
          <w:color w:val="auto"/>
          <w:spacing w:val="-2"/>
        </w:rPr>
        <w:t> </w:t>
      </w:r>
      <w:r w:rsidR="0004165B" w:rsidRPr="00F0151C">
        <w:rPr>
          <w:rFonts w:ascii="Arial" w:eastAsia="Times New Roman" w:hAnsi="Arial" w:cs="Arial"/>
          <w:color w:val="auto"/>
          <w:spacing w:val="-2"/>
        </w:rPr>
        <w:t>jednostce muszą być zgodne z wyciągiem bankowym, a więc należy ująć w ewidencji także te operacje, które wynikają z omyłek lub błędów banku, księgując je na odpowiednim rachunku bankowym w</w:t>
      </w:r>
      <w:r w:rsidR="007D6D5D" w:rsidRPr="00F0151C">
        <w:rPr>
          <w:rFonts w:ascii="Arial" w:eastAsia="Times New Roman" w:hAnsi="Arial" w:cs="Arial"/>
          <w:color w:val="auto"/>
          <w:spacing w:val="-2"/>
        </w:rPr>
        <w:t> </w:t>
      </w:r>
      <w:r w:rsidR="0004165B" w:rsidRPr="00F0151C">
        <w:rPr>
          <w:rFonts w:ascii="Arial" w:eastAsia="Times New Roman" w:hAnsi="Arial" w:cs="Arial"/>
          <w:color w:val="auto"/>
          <w:spacing w:val="-2"/>
        </w:rPr>
        <w:t>korespondencji z kontem 245 „Wpływy do wyjaśnienia” jako sumy do wyjaśnienia, jeśli dotyczą dochodów budżetowych, lub w korespondencji z kontem 240 „Pozostałe rozrachunki” we wszystkich innych przypadkach”.</w:t>
      </w:r>
      <w:r w:rsidR="00C27C06" w:rsidRPr="00F0151C">
        <w:rPr>
          <w:rFonts w:ascii="Arial" w:eastAsia="Times New Roman" w:hAnsi="Arial" w:cs="Arial"/>
          <w:color w:val="auto"/>
          <w:spacing w:val="-2"/>
        </w:rPr>
        <w:t xml:space="preserve"> Zatem na koncie 245 powinny być ewidencjonowane wyłącznie wpływy, które po wyjaśnieniu będą stanowiły dochody budżetowe, a w pozostałych przypadkach na koncie 240 z odpowiednią analityką.</w:t>
      </w:r>
    </w:p>
    <w:p w14:paraId="33D69414" w14:textId="1A2F6CF6" w:rsidR="0038677E" w:rsidRPr="004F74DE" w:rsidRDefault="0038677E" w:rsidP="0006122F">
      <w:pPr>
        <w:pStyle w:val="Standard"/>
        <w:widowControl w:val="0"/>
        <w:numPr>
          <w:ilvl w:val="0"/>
          <w:numId w:val="13"/>
        </w:numPr>
        <w:tabs>
          <w:tab w:val="left" w:pos="-2410"/>
          <w:tab w:val="left" w:pos="567"/>
        </w:tabs>
        <w:spacing w:after="0" w:line="360" w:lineRule="auto"/>
        <w:ind w:left="0" w:firstLine="0"/>
        <w:jc w:val="both"/>
        <w:rPr>
          <w:rFonts w:ascii="Arial" w:eastAsia="Times New Roman" w:hAnsi="Arial" w:cs="Arial"/>
          <w:color w:val="auto"/>
          <w:spacing w:val="-6"/>
        </w:rPr>
      </w:pPr>
      <w:bookmarkStart w:id="19" w:name="_Hlk147300211"/>
      <w:r w:rsidRPr="004F74DE">
        <w:rPr>
          <w:rFonts w:ascii="Arial" w:hAnsi="Arial" w:cs="Arial"/>
          <w:color w:val="auto"/>
          <w:spacing w:val="-6"/>
        </w:rPr>
        <w:t xml:space="preserve">W zakładzie przyjęto zasadę ujmowania w księgach rachunkowych wszystkich operacji gospodarczych pod </w:t>
      </w:r>
      <w:r w:rsidRPr="004F74DE">
        <w:rPr>
          <w:rFonts w:ascii="Arial" w:hAnsi="Arial" w:cs="Arial"/>
          <w:color w:val="auto"/>
          <w:spacing w:val="-6"/>
          <w:u w:val="single"/>
        </w:rPr>
        <w:t>datą zapisu stanowiącą ostatni dzień danego miesiąca, czego nie uregulowano w polityce rachunkowości</w:t>
      </w:r>
      <w:bookmarkEnd w:id="19"/>
      <w:r w:rsidRPr="004F74DE">
        <w:rPr>
          <w:rFonts w:ascii="Arial" w:hAnsi="Arial" w:cs="Arial"/>
          <w:color w:val="auto"/>
          <w:spacing w:val="-6"/>
          <w:u w:val="single"/>
        </w:rPr>
        <w:t xml:space="preserve">, </w:t>
      </w:r>
      <w:r w:rsidRPr="004F74DE">
        <w:rPr>
          <w:rFonts w:ascii="Arial" w:hAnsi="Arial" w:cs="Arial"/>
          <w:color w:val="auto"/>
          <w:spacing w:val="-6"/>
          <w:u w:val="single"/>
          <w:lang w:bidi="fa-IR"/>
        </w:rPr>
        <w:t>co mając na względzie, ż</w:t>
      </w:r>
      <w:r w:rsidRPr="004F74DE">
        <w:rPr>
          <w:rFonts w:ascii="Arial" w:hAnsi="Arial" w:cs="Arial"/>
          <w:color w:val="auto"/>
          <w:spacing w:val="-6"/>
          <w:u w:val="single"/>
        </w:rPr>
        <w:t>e</w:t>
      </w:r>
      <w:r w:rsidRPr="004F74DE">
        <w:rPr>
          <w:rFonts w:ascii="Arial" w:hAnsi="Arial" w:cs="Arial"/>
          <w:color w:val="auto"/>
          <w:spacing w:val="-6"/>
          <w:u w:val="single"/>
          <w:lang w:bidi="fa-IR"/>
        </w:rPr>
        <w:t xml:space="preserve"> data zapisu wyznacza okres, z</w:t>
      </w:r>
      <w:r w:rsidR="004F74DE">
        <w:rPr>
          <w:rFonts w:ascii="Arial" w:hAnsi="Arial" w:cs="Arial"/>
          <w:color w:val="auto"/>
          <w:spacing w:val="-6"/>
          <w:u w:val="single"/>
          <w:lang w:bidi="fa-IR"/>
        </w:rPr>
        <w:t> </w:t>
      </w:r>
      <w:r w:rsidRPr="004F74DE">
        <w:rPr>
          <w:rFonts w:ascii="Arial" w:hAnsi="Arial" w:cs="Arial"/>
          <w:color w:val="auto"/>
          <w:spacing w:val="-6"/>
          <w:u w:val="single"/>
          <w:lang w:bidi="fa-IR"/>
        </w:rPr>
        <w:t>którym wiąże się koszt lub przychód jest wskazane</w:t>
      </w:r>
      <w:r w:rsidRPr="004F74DE">
        <w:rPr>
          <w:rFonts w:ascii="Arial" w:hAnsi="Arial" w:cs="Arial"/>
          <w:color w:val="auto"/>
          <w:spacing w:val="-6"/>
          <w:lang w:bidi="fa-IR"/>
        </w:rPr>
        <w:t>. Ponadto zgodnie z uor zapisów na określonym koncie księgi głównej dokonuje się w kolejności chronologicznej (art. 15 pkt 2), a</w:t>
      </w:r>
      <w:r w:rsidR="004F74DE">
        <w:rPr>
          <w:rFonts w:ascii="Arial" w:hAnsi="Arial" w:cs="Arial"/>
          <w:color w:val="auto"/>
          <w:spacing w:val="-6"/>
          <w:lang w:bidi="fa-IR"/>
        </w:rPr>
        <w:t> </w:t>
      </w:r>
      <w:r w:rsidRPr="004F74DE">
        <w:rPr>
          <w:rFonts w:ascii="Arial" w:hAnsi="Arial" w:cs="Arial"/>
          <w:color w:val="auto"/>
          <w:spacing w:val="-6"/>
          <w:lang w:bidi="fa-IR"/>
        </w:rPr>
        <w:t>dziennik zawiera chronologiczne ujęcie zdarzeń, jakie nastąpiły w danym okresie sprawozdawczym (art. 14 pkt 1), istotna zatem jest kolejność zaistnienia zdarzeń ekonomicznych.</w:t>
      </w:r>
      <w:r w:rsidR="008267DE" w:rsidRPr="004F74DE">
        <w:rPr>
          <w:rFonts w:ascii="Arial" w:hAnsi="Arial" w:cs="Arial"/>
          <w:color w:val="auto"/>
          <w:spacing w:val="-6"/>
          <w:lang w:bidi="fa-IR"/>
        </w:rPr>
        <w:t xml:space="preserve"> </w:t>
      </w:r>
    </w:p>
    <w:p w14:paraId="6B48E65E" w14:textId="7E92D17D" w:rsidR="008267DE" w:rsidRPr="00F0151C" w:rsidRDefault="008267DE" w:rsidP="008267DE">
      <w:pPr>
        <w:pStyle w:val="Standard"/>
        <w:widowControl w:val="0"/>
        <w:tabs>
          <w:tab w:val="left" w:pos="-2410"/>
          <w:tab w:val="left" w:pos="426"/>
        </w:tabs>
        <w:spacing w:after="0" w:line="360" w:lineRule="auto"/>
        <w:jc w:val="both"/>
        <w:rPr>
          <w:rFonts w:ascii="Arial" w:eastAsia="Times New Roman" w:hAnsi="Arial" w:cs="Arial"/>
          <w:color w:val="auto"/>
          <w:spacing w:val="-2"/>
        </w:rPr>
      </w:pPr>
      <w:r w:rsidRPr="00F0151C">
        <w:rPr>
          <w:rFonts w:ascii="Arial" w:eastAsia="Times New Roman" w:hAnsi="Arial" w:cs="Arial"/>
          <w:color w:val="auto"/>
          <w:spacing w:val="-2"/>
        </w:rPr>
        <w:t xml:space="preserve">Zgodnie z ustawą o rachunkowości do ksiąg rachunkowych okresu sprawozdawczego należy wprowadzić, w postaci zapisu, każde zdarzenie, które nastąpiło w tym okresie sprawozdawczym, a podstawą zapisów w księgach rachunkowych są dowody księgowe stwierdzające dokonanie operacji gospodarczej (art. 20 ust. 1 i ust. 2). Zapisów w księgach rachunkowych dokonuje się w sposób trwały, bez pozostawiania miejsc pozwalających na późniejsze dopiski lub zmiany. Jak stanowi art. 23 ust. 2 ustawy o rachunkowości, zapis księgowy powinien zawierać co najmniej: </w:t>
      </w:r>
    </w:p>
    <w:p w14:paraId="61F1270E" w14:textId="78E3390E" w:rsidR="008267DE" w:rsidRPr="00F0151C" w:rsidRDefault="008267DE" w:rsidP="00384BC5">
      <w:pPr>
        <w:pStyle w:val="Standard"/>
        <w:widowControl w:val="0"/>
        <w:numPr>
          <w:ilvl w:val="0"/>
          <w:numId w:val="32"/>
        </w:numPr>
        <w:tabs>
          <w:tab w:val="clear" w:pos="720"/>
          <w:tab w:val="left" w:pos="-2410"/>
        </w:tabs>
        <w:spacing w:after="0" w:line="360" w:lineRule="auto"/>
        <w:ind w:left="426" w:hanging="426"/>
        <w:jc w:val="both"/>
        <w:rPr>
          <w:rFonts w:ascii="Arial" w:eastAsia="Times New Roman" w:hAnsi="Arial" w:cs="Arial"/>
          <w:color w:val="auto"/>
          <w:spacing w:val="-2"/>
        </w:rPr>
      </w:pPr>
      <w:r w:rsidRPr="00F0151C">
        <w:rPr>
          <w:rFonts w:ascii="Arial" w:eastAsia="Times New Roman" w:hAnsi="Arial" w:cs="Arial"/>
          <w:color w:val="auto"/>
          <w:spacing w:val="-2"/>
        </w:rPr>
        <w:t>datę dokonania operacji gospodarczej,</w:t>
      </w:r>
    </w:p>
    <w:p w14:paraId="7B74268A" w14:textId="5E3450BC" w:rsidR="008267DE" w:rsidRPr="00F0151C" w:rsidRDefault="008267DE" w:rsidP="00384BC5">
      <w:pPr>
        <w:pStyle w:val="Standard"/>
        <w:widowControl w:val="0"/>
        <w:numPr>
          <w:ilvl w:val="0"/>
          <w:numId w:val="32"/>
        </w:numPr>
        <w:tabs>
          <w:tab w:val="clear" w:pos="720"/>
          <w:tab w:val="left" w:pos="-2410"/>
        </w:tabs>
        <w:spacing w:after="0" w:line="360" w:lineRule="auto"/>
        <w:ind w:left="426" w:hanging="426"/>
        <w:jc w:val="both"/>
        <w:rPr>
          <w:rFonts w:ascii="Arial" w:eastAsia="Times New Roman" w:hAnsi="Arial" w:cs="Arial"/>
          <w:color w:val="auto"/>
          <w:spacing w:val="-2"/>
        </w:rPr>
      </w:pPr>
      <w:r w:rsidRPr="00F0151C">
        <w:rPr>
          <w:rFonts w:ascii="Arial" w:eastAsia="Times New Roman" w:hAnsi="Arial" w:cs="Arial"/>
          <w:color w:val="auto"/>
          <w:spacing w:val="-2"/>
        </w:rPr>
        <w:t>określenie rodzaju i numer identyfikacyjny dowodu księgowego stanowiącego podstawę zapisu oraz jego datę, jeżeli różni się ona od daty dokonania operacji,</w:t>
      </w:r>
    </w:p>
    <w:p w14:paraId="31F76FE6" w14:textId="5733A08C" w:rsidR="008267DE" w:rsidRPr="00F0151C" w:rsidRDefault="008267DE" w:rsidP="00384BC5">
      <w:pPr>
        <w:pStyle w:val="Standard"/>
        <w:widowControl w:val="0"/>
        <w:numPr>
          <w:ilvl w:val="0"/>
          <w:numId w:val="32"/>
        </w:numPr>
        <w:tabs>
          <w:tab w:val="clear" w:pos="720"/>
          <w:tab w:val="left" w:pos="-2410"/>
        </w:tabs>
        <w:spacing w:after="0" w:line="360" w:lineRule="auto"/>
        <w:ind w:left="426" w:hanging="426"/>
        <w:jc w:val="both"/>
        <w:rPr>
          <w:rFonts w:ascii="Arial" w:eastAsia="Times New Roman" w:hAnsi="Arial" w:cs="Arial"/>
          <w:color w:val="auto"/>
          <w:spacing w:val="-2"/>
        </w:rPr>
      </w:pPr>
      <w:r w:rsidRPr="00F0151C">
        <w:rPr>
          <w:rFonts w:ascii="Arial" w:eastAsia="Times New Roman" w:hAnsi="Arial" w:cs="Arial"/>
          <w:color w:val="auto"/>
          <w:spacing w:val="-2"/>
        </w:rPr>
        <w:t>zrozumiały tekst, skrót lub kod opisu operacji, z tym że należy posiadać pisemne objaśnienia treści skrótów lub kodów,</w:t>
      </w:r>
    </w:p>
    <w:p w14:paraId="7C8C9674" w14:textId="736987FA" w:rsidR="008267DE" w:rsidRPr="00F0151C" w:rsidRDefault="008267DE" w:rsidP="00384BC5">
      <w:pPr>
        <w:pStyle w:val="Standard"/>
        <w:widowControl w:val="0"/>
        <w:numPr>
          <w:ilvl w:val="0"/>
          <w:numId w:val="32"/>
        </w:numPr>
        <w:tabs>
          <w:tab w:val="clear" w:pos="720"/>
          <w:tab w:val="left" w:pos="-2410"/>
        </w:tabs>
        <w:spacing w:after="0" w:line="360" w:lineRule="auto"/>
        <w:ind w:left="426" w:hanging="426"/>
        <w:jc w:val="both"/>
        <w:rPr>
          <w:rFonts w:ascii="Arial" w:eastAsia="Times New Roman" w:hAnsi="Arial" w:cs="Arial"/>
          <w:color w:val="auto"/>
          <w:spacing w:val="-2"/>
        </w:rPr>
      </w:pPr>
      <w:r w:rsidRPr="00F0151C">
        <w:rPr>
          <w:rFonts w:ascii="Arial" w:eastAsia="Times New Roman" w:hAnsi="Arial" w:cs="Arial"/>
          <w:color w:val="auto"/>
          <w:spacing w:val="-2"/>
        </w:rPr>
        <w:lastRenderedPageBreak/>
        <w:t>kwotę i datę zapisu,</w:t>
      </w:r>
    </w:p>
    <w:p w14:paraId="60427DE1" w14:textId="75DB5386" w:rsidR="008267DE" w:rsidRPr="00F0151C" w:rsidRDefault="008267DE" w:rsidP="00384BC5">
      <w:pPr>
        <w:pStyle w:val="Standard"/>
        <w:widowControl w:val="0"/>
        <w:numPr>
          <w:ilvl w:val="0"/>
          <w:numId w:val="32"/>
        </w:numPr>
        <w:tabs>
          <w:tab w:val="clear" w:pos="720"/>
          <w:tab w:val="left" w:pos="-2410"/>
        </w:tabs>
        <w:spacing w:after="0" w:line="360" w:lineRule="auto"/>
        <w:ind w:left="426" w:hanging="426"/>
        <w:jc w:val="both"/>
        <w:rPr>
          <w:rFonts w:ascii="Arial" w:eastAsia="Times New Roman" w:hAnsi="Arial" w:cs="Arial"/>
          <w:color w:val="auto"/>
          <w:spacing w:val="-2"/>
        </w:rPr>
      </w:pPr>
      <w:r w:rsidRPr="00F0151C">
        <w:rPr>
          <w:rFonts w:ascii="Arial" w:eastAsia="Times New Roman" w:hAnsi="Arial" w:cs="Arial"/>
          <w:color w:val="auto"/>
          <w:spacing w:val="-2"/>
        </w:rPr>
        <w:t>oznaczenie kont, których dotyczy.</w:t>
      </w:r>
    </w:p>
    <w:p w14:paraId="506983E6" w14:textId="7378D11F" w:rsidR="00E57333" w:rsidRPr="00F0151C" w:rsidRDefault="00E57333" w:rsidP="008267DE">
      <w:pPr>
        <w:overflowPunct/>
        <w:spacing w:after="0" w:line="360" w:lineRule="auto"/>
        <w:jc w:val="both"/>
        <w:rPr>
          <w:rFonts w:ascii="Arial" w:eastAsia="Times New Roman" w:hAnsi="Arial" w:cs="Arial"/>
          <w:color w:val="auto"/>
          <w:spacing w:val="-2"/>
        </w:rPr>
      </w:pPr>
      <w:r w:rsidRPr="00F0151C">
        <w:rPr>
          <w:rFonts w:ascii="Arial" w:eastAsia="Times New Roman" w:hAnsi="Arial" w:cs="Arial"/>
          <w:color w:val="auto"/>
          <w:spacing w:val="-2"/>
        </w:rPr>
        <w:t xml:space="preserve">W dzienniku księgowań </w:t>
      </w:r>
      <w:r w:rsidR="00244D7E" w:rsidRPr="00F0151C">
        <w:rPr>
          <w:rFonts w:ascii="Arial" w:eastAsia="Times New Roman" w:hAnsi="Arial" w:cs="Arial"/>
          <w:color w:val="auto"/>
          <w:spacing w:val="-2"/>
        </w:rPr>
        <w:t>MZBM</w:t>
      </w:r>
      <w:r w:rsidR="0038677E" w:rsidRPr="00F0151C">
        <w:rPr>
          <w:rFonts w:ascii="Arial" w:eastAsia="Times New Roman" w:hAnsi="Arial" w:cs="Arial"/>
          <w:color w:val="auto"/>
          <w:spacing w:val="-2"/>
        </w:rPr>
        <w:t xml:space="preserve"> </w:t>
      </w:r>
      <w:r w:rsidRPr="00F0151C">
        <w:rPr>
          <w:rFonts w:ascii="Arial" w:eastAsia="Times New Roman" w:hAnsi="Arial" w:cs="Arial"/>
          <w:color w:val="auto"/>
          <w:spacing w:val="-2"/>
        </w:rPr>
        <w:t>znajdują się następujące daty:</w:t>
      </w:r>
    </w:p>
    <w:p w14:paraId="51F5F443" w14:textId="4041C712" w:rsidR="00E57333" w:rsidRPr="00F0151C" w:rsidRDefault="00E57333" w:rsidP="00384BC5">
      <w:pPr>
        <w:pStyle w:val="Akapitzlist"/>
        <w:numPr>
          <w:ilvl w:val="0"/>
          <w:numId w:val="31"/>
        </w:numPr>
        <w:overflowPunct/>
        <w:ind w:left="426" w:hanging="426"/>
        <w:rPr>
          <w:rFonts w:ascii="Arial" w:eastAsia="Times New Roman" w:hAnsi="Arial" w:cs="Arial"/>
          <w:color w:val="auto"/>
          <w:spacing w:val="-2"/>
          <w:sz w:val="22"/>
          <w:szCs w:val="22"/>
          <w:lang w:val="pl-PL"/>
        </w:rPr>
      </w:pPr>
      <w:r w:rsidRPr="00F0151C">
        <w:rPr>
          <w:rFonts w:ascii="Arial" w:eastAsia="Times New Roman" w:hAnsi="Arial" w:cs="Arial"/>
          <w:color w:val="auto"/>
          <w:spacing w:val="-2"/>
          <w:sz w:val="22"/>
          <w:szCs w:val="22"/>
          <w:lang w:val="pl-PL"/>
        </w:rPr>
        <w:t>data dowodu księgowego, będąca datą fizycznego wprowadzenia dokumentu do ksiąg rachunkowych,</w:t>
      </w:r>
    </w:p>
    <w:p w14:paraId="3C6CA6A6" w14:textId="29E3EA66" w:rsidR="00E57333" w:rsidRPr="00F0151C" w:rsidRDefault="00E57333" w:rsidP="00384BC5">
      <w:pPr>
        <w:pStyle w:val="Akapitzlist"/>
        <w:numPr>
          <w:ilvl w:val="0"/>
          <w:numId w:val="31"/>
        </w:numPr>
        <w:overflowPunct/>
        <w:ind w:left="426" w:hanging="426"/>
        <w:rPr>
          <w:rFonts w:ascii="Arial" w:eastAsia="Times New Roman" w:hAnsi="Arial" w:cs="Arial"/>
          <w:color w:val="auto"/>
          <w:spacing w:val="-2"/>
          <w:sz w:val="22"/>
          <w:szCs w:val="22"/>
          <w:lang w:val="pl-PL"/>
        </w:rPr>
      </w:pPr>
      <w:r w:rsidRPr="00F0151C">
        <w:rPr>
          <w:rFonts w:ascii="Arial" w:eastAsia="Times New Roman" w:hAnsi="Arial" w:cs="Arial"/>
          <w:color w:val="auto"/>
          <w:spacing w:val="-2"/>
          <w:sz w:val="22"/>
          <w:szCs w:val="22"/>
          <w:lang w:val="pl-PL"/>
        </w:rPr>
        <w:t>data operacji gospodarczej / data wystawienia dokumentu</w:t>
      </w:r>
      <w:r w:rsidR="00244D7E" w:rsidRPr="00F0151C">
        <w:rPr>
          <w:rFonts w:ascii="Arial" w:eastAsia="Times New Roman" w:hAnsi="Arial" w:cs="Arial"/>
          <w:color w:val="auto"/>
          <w:spacing w:val="-2"/>
          <w:sz w:val="22"/>
          <w:szCs w:val="22"/>
          <w:lang w:val="pl-PL"/>
        </w:rPr>
        <w:t>,</w:t>
      </w:r>
    </w:p>
    <w:p w14:paraId="15C34757" w14:textId="0EAB4883" w:rsidR="00244D7E" w:rsidRPr="00F0151C" w:rsidRDefault="00E57333" w:rsidP="00384BC5">
      <w:pPr>
        <w:pStyle w:val="Akapitzlist"/>
        <w:numPr>
          <w:ilvl w:val="0"/>
          <w:numId w:val="31"/>
        </w:numPr>
        <w:overflowPunct/>
        <w:ind w:left="426" w:hanging="426"/>
        <w:rPr>
          <w:rFonts w:ascii="Arial" w:eastAsia="Times New Roman" w:hAnsi="Arial" w:cs="Arial"/>
          <w:color w:val="auto"/>
          <w:spacing w:val="-2"/>
          <w:sz w:val="22"/>
          <w:szCs w:val="22"/>
          <w:lang w:val="pl-PL"/>
        </w:rPr>
      </w:pPr>
      <w:r w:rsidRPr="00F0151C">
        <w:rPr>
          <w:rFonts w:ascii="Arial" w:eastAsia="Times New Roman" w:hAnsi="Arial" w:cs="Arial"/>
          <w:color w:val="auto"/>
          <w:spacing w:val="-2"/>
          <w:sz w:val="22"/>
          <w:szCs w:val="22"/>
          <w:lang w:val="pl-PL"/>
        </w:rPr>
        <w:t>data zapisu, będąca zawsze ostatnim dniem miesiąca.</w:t>
      </w:r>
    </w:p>
    <w:p w14:paraId="49AA8CF8" w14:textId="2E409B66" w:rsidR="00C94476" w:rsidRPr="00F0151C" w:rsidRDefault="00060189" w:rsidP="00C94476">
      <w:pPr>
        <w:pStyle w:val="Standard"/>
        <w:widowControl w:val="0"/>
        <w:tabs>
          <w:tab w:val="left" w:pos="-2410"/>
          <w:tab w:val="left" w:pos="426"/>
        </w:tabs>
        <w:overflowPunct/>
        <w:spacing w:after="0" w:line="360" w:lineRule="auto"/>
        <w:jc w:val="both"/>
        <w:rPr>
          <w:rFonts w:ascii="Arial" w:eastAsia="Times New Roman" w:hAnsi="Arial" w:cs="Arial"/>
          <w:color w:val="auto"/>
          <w:spacing w:val="-2"/>
        </w:rPr>
      </w:pPr>
      <w:r w:rsidRPr="00F0151C">
        <w:rPr>
          <w:rFonts w:ascii="Arial" w:eastAsia="Times New Roman" w:hAnsi="Arial" w:cs="Arial"/>
          <w:color w:val="auto"/>
          <w:spacing w:val="-2"/>
        </w:rPr>
        <w:t xml:space="preserve">W powyższym zakresie </w:t>
      </w:r>
      <w:r w:rsidR="0033194B" w:rsidRPr="00F0151C">
        <w:rPr>
          <w:rFonts w:ascii="Arial" w:eastAsia="Times New Roman" w:hAnsi="Arial" w:cs="Arial"/>
          <w:color w:val="auto"/>
          <w:spacing w:val="-2"/>
        </w:rPr>
        <w:t>w</w:t>
      </w:r>
      <w:r w:rsidR="00D71B1B" w:rsidRPr="00F0151C">
        <w:rPr>
          <w:rFonts w:ascii="Arial" w:eastAsia="Times New Roman" w:hAnsi="Arial" w:cs="Arial"/>
          <w:color w:val="auto"/>
          <w:spacing w:val="-2"/>
        </w:rPr>
        <w:t>yrywkowej kontroli poddano</w:t>
      </w:r>
      <w:r w:rsidR="00C94476" w:rsidRPr="00F0151C">
        <w:rPr>
          <w:rFonts w:ascii="Arial" w:eastAsia="Times New Roman" w:hAnsi="Arial" w:cs="Arial"/>
          <w:color w:val="auto"/>
          <w:spacing w:val="-2"/>
        </w:rPr>
        <w:t xml:space="preserve"> sposób ewidencji</w:t>
      </w:r>
      <w:r w:rsidR="00D71B1B" w:rsidRPr="00F0151C">
        <w:rPr>
          <w:rFonts w:ascii="Arial" w:eastAsia="Times New Roman" w:hAnsi="Arial" w:cs="Arial"/>
          <w:color w:val="auto"/>
          <w:spacing w:val="-2"/>
        </w:rPr>
        <w:t xml:space="preserve"> dowodów księgowych w księgach rachunkowych</w:t>
      </w:r>
      <w:r w:rsidRPr="00F0151C">
        <w:rPr>
          <w:rFonts w:ascii="Arial" w:eastAsia="Times New Roman" w:hAnsi="Arial" w:cs="Arial"/>
          <w:color w:val="auto"/>
          <w:spacing w:val="-2"/>
        </w:rPr>
        <w:t xml:space="preserve"> stwierdzając, że</w:t>
      </w:r>
      <w:r w:rsidR="00BB4AA3" w:rsidRPr="00F0151C">
        <w:rPr>
          <w:rFonts w:ascii="Arial" w:eastAsia="Times New Roman" w:hAnsi="Arial" w:cs="Arial"/>
          <w:color w:val="auto"/>
          <w:spacing w:val="-2"/>
        </w:rPr>
        <w:t xml:space="preserve"> </w:t>
      </w:r>
      <w:r w:rsidR="00C94476" w:rsidRPr="00F0151C">
        <w:rPr>
          <w:rFonts w:ascii="Arial" w:eastAsia="Times New Roman" w:hAnsi="Arial" w:cs="Arial"/>
          <w:color w:val="auto"/>
          <w:spacing w:val="-2"/>
        </w:rPr>
        <w:t>data zapisu stanowi zawsze ostatni dzień miesiąca, co dotyczyło przykładowo:</w:t>
      </w:r>
    </w:p>
    <w:p w14:paraId="24B8C3A8" w14:textId="4DF30D16" w:rsidR="00BB4AA3" w:rsidRPr="004F74DE" w:rsidRDefault="00BB4AA3" w:rsidP="00384BC5">
      <w:pPr>
        <w:pStyle w:val="Standard"/>
        <w:widowControl w:val="0"/>
        <w:numPr>
          <w:ilvl w:val="0"/>
          <w:numId w:val="33"/>
        </w:numPr>
        <w:tabs>
          <w:tab w:val="left" w:pos="-2410"/>
          <w:tab w:val="left" w:pos="426"/>
        </w:tabs>
        <w:overflowPunct/>
        <w:spacing w:after="0" w:line="360" w:lineRule="auto"/>
        <w:ind w:left="426" w:hanging="426"/>
        <w:jc w:val="both"/>
        <w:rPr>
          <w:rFonts w:ascii="Arial" w:eastAsia="Times New Roman" w:hAnsi="Arial" w:cs="Arial"/>
          <w:color w:val="auto"/>
          <w:spacing w:val="-4"/>
        </w:rPr>
      </w:pPr>
      <w:r w:rsidRPr="004F74DE">
        <w:rPr>
          <w:rFonts w:ascii="Arial" w:eastAsia="Times New Roman" w:hAnsi="Arial" w:cs="Arial"/>
          <w:color w:val="auto"/>
          <w:spacing w:val="-6"/>
        </w:rPr>
        <w:t>faktur</w:t>
      </w:r>
      <w:r w:rsidR="00C94476" w:rsidRPr="004F74DE">
        <w:rPr>
          <w:rFonts w:ascii="Arial" w:eastAsia="Times New Roman" w:hAnsi="Arial" w:cs="Arial"/>
          <w:color w:val="auto"/>
          <w:spacing w:val="-6"/>
        </w:rPr>
        <w:t>y</w:t>
      </w:r>
      <w:r w:rsidRPr="004F74DE">
        <w:rPr>
          <w:rFonts w:ascii="Arial" w:eastAsia="Times New Roman" w:hAnsi="Arial" w:cs="Arial"/>
          <w:color w:val="auto"/>
          <w:spacing w:val="-6"/>
        </w:rPr>
        <w:t xml:space="preserve"> nr 1/01/2022 na kwotę 1 241,31 zł z tytułu zaliczki na koszty zarządu wspólnoty mieszkaniowej zawierającą: datę wystawienia 1.01.2022 r., datę sprzedaży 1.01.2022 r. oraz datę wpływu do MZBM 12.01.2022 r., wprowadzono do ksiąg rachunkowych </w:t>
      </w:r>
      <w:r w:rsidR="00457326" w:rsidRPr="004F74DE">
        <w:rPr>
          <w:rFonts w:ascii="Arial" w:eastAsia="Times New Roman" w:hAnsi="Arial" w:cs="Arial"/>
          <w:color w:val="auto"/>
          <w:spacing w:val="-6"/>
        </w:rPr>
        <w:t xml:space="preserve">pod datą księgowania 24.01.2022 r., </w:t>
      </w:r>
      <w:r w:rsidRPr="004F74DE">
        <w:rPr>
          <w:rFonts w:ascii="Arial" w:eastAsia="Times New Roman" w:hAnsi="Arial" w:cs="Arial"/>
          <w:color w:val="auto"/>
          <w:spacing w:val="-6"/>
        </w:rPr>
        <w:t xml:space="preserve">z datą operacji gospodarczej </w:t>
      </w:r>
      <w:r w:rsidR="00757F63" w:rsidRPr="004F74DE">
        <w:rPr>
          <w:rFonts w:ascii="Arial" w:eastAsia="Times New Roman" w:hAnsi="Arial" w:cs="Arial"/>
          <w:color w:val="auto"/>
          <w:spacing w:val="-6"/>
        </w:rPr>
        <w:t>1</w:t>
      </w:r>
      <w:r w:rsidRPr="004F74DE">
        <w:rPr>
          <w:rFonts w:ascii="Arial" w:eastAsia="Times New Roman" w:hAnsi="Arial" w:cs="Arial"/>
          <w:color w:val="auto"/>
          <w:spacing w:val="-6"/>
        </w:rPr>
        <w:t>.01.2022 i datą zapisu 31.01.2022</w:t>
      </w:r>
      <w:r w:rsidR="004F74DE">
        <w:rPr>
          <w:rFonts w:ascii="Arial" w:eastAsia="Times New Roman" w:hAnsi="Arial" w:cs="Arial"/>
          <w:color w:val="auto"/>
          <w:spacing w:val="-6"/>
        </w:rPr>
        <w:t> </w:t>
      </w:r>
      <w:r w:rsidRPr="004F74DE">
        <w:rPr>
          <w:rFonts w:ascii="Arial" w:eastAsia="Times New Roman" w:hAnsi="Arial" w:cs="Arial"/>
          <w:color w:val="auto"/>
          <w:spacing w:val="-6"/>
        </w:rPr>
        <w:t xml:space="preserve">r. </w:t>
      </w:r>
      <w:r w:rsidR="00757F63" w:rsidRPr="004F74DE">
        <w:rPr>
          <w:rFonts w:ascii="Arial" w:eastAsia="Times New Roman" w:hAnsi="Arial" w:cs="Arial"/>
          <w:color w:val="auto"/>
          <w:spacing w:val="-6"/>
        </w:rPr>
        <w:t>F</w:t>
      </w:r>
      <w:r w:rsidRPr="004F74DE">
        <w:rPr>
          <w:rFonts w:ascii="Arial" w:eastAsia="Times New Roman" w:hAnsi="Arial" w:cs="Arial"/>
          <w:color w:val="auto"/>
          <w:spacing w:val="-6"/>
        </w:rPr>
        <w:t>aktura została zapłacona 18.01.2022 r., tj. przed datą ujęcia jej w księgach rachunkowych</w:t>
      </w:r>
      <w:r w:rsidR="00295C43" w:rsidRPr="004F74DE">
        <w:rPr>
          <w:rFonts w:ascii="Arial" w:eastAsia="Times New Roman" w:hAnsi="Arial" w:cs="Arial"/>
          <w:color w:val="auto"/>
          <w:spacing w:val="-4"/>
        </w:rPr>
        <w:t>,</w:t>
      </w:r>
    </w:p>
    <w:p w14:paraId="390049A0" w14:textId="21537899" w:rsidR="00C94476" w:rsidRPr="004F74DE" w:rsidRDefault="009265FB" w:rsidP="00384BC5">
      <w:pPr>
        <w:pStyle w:val="Standard"/>
        <w:widowControl w:val="0"/>
        <w:numPr>
          <w:ilvl w:val="0"/>
          <w:numId w:val="33"/>
        </w:numPr>
        <w:tabs>
          <w:tab w:val="left" w:pos="-2410"/>
          <w:tab w:val="left" w:pos="426"/>
        </w:tabs>
        <w:overflowPunct/>
        <w:spacing w:after="0" w:line="360" w:lineRule="auto"/>
        <w:ind w:left="426" w:hanging="426"/>
        <w:jc w:val="both"/>
        <w:rPr>
          <w:rFonts w:ascii="Arial" w:eastAsia="Times New Roman" w:hAnsi="Arial" w:cs="Arial"/>
          <w:color w:val="auto"/>
          <w:spacing w:val="2"/>
        </w:rPr>
      </w:pPr>
      <w:r w:rsidRPr="004F74DE">
        <w:rPr>
          <w:rFonts w:ascii="Arial" w:eastAsia="Times New Roman" w:hAnsi="Arial" w:cs="Arial"/>
          <w:color w:val="auto"/>
          <w:spacing w:val="2"/>
        </w:rPr>
        <w:t xml:space="preserve">pisma nr </w:t>
      </w:r>
      <w:proofErr w:type="spellStart"/>
      <w:r w:rsidRPr="004F74DE">
        <w:rPr>
          <w:rFonts w:ascii="Arial" w:eastAsia="Times New Roman" w:hAnsi="Arial" w:cs="Arial"/>
          <w:color w:val="auto"/>
          <w:spacing w:val="2"/>
        </w:rPr>
        <w:t>UiP</w:t>
      </w:r>
      <w:proofErr w:type="spellEnd"/>
      <w:r w:rsidRPr="004F74DE">
        <w:rPr>
          <w:rFonts w:ascii="Arial" w:eastAsia="Times New Roman" w:hAnsi="Arial" w:cs="Arial"/>
          <w:color w:val="auto"/>
          <w:spacing w:val="2"/>
        </w:rPr>
        <w:t xml:space="preserve">/W/16/01/22 z 11.01.2022 r. </w:t>
      </w:r>
      <w:r w:rsidR="00295C43" w:rsidRPr="004F74DE">
        <w:rPr>
          <w:rFonts w:ascii="Arial" w:eastAsia="Times New Roman" w:hAnsi="Arial" w:cs="Arial"/>
          <w:color w:val="auto"/>
          <w:spacing w:val="2"/>
        </w:rPr>
        <w:t>od Kancelarii Prawniczej dotyczącego wniesienia opłaty kancelaryjnej za wydanie dalszego tytułu wykonawczego z datą wpływu do MZBM 11.01.2022 r., wprowadzono do ksiąg rachunkowych pod datą księgowania 14.01.2022 r., z datą operacji gospodarczej i wystawienia dokumentu 11.01.2022 i datą zapisu 31.01.2022 r.,</w:t>
      </w:r>
    </w:p>
    <w:p w14:paraId="04D0D422" w14:textId="77777777" w:rsidR="0006122F" w:rsidRPr="004F74DE" w:rsidRDefault="00295C43" w:rsidP="0006122F">
      <w:pPr>
        <w:pStyle w:val="Standard"/>
        <w:widowControl w:val="0"/>
        <w:numPr>
          <w:ilvl w:val="0"/>
          <w:numId w:val="33"/>
        </w:numPr>
        <w:tabs>
          <w:tab w:val="left" w:pos="-2410"/>
          <w:tab w:val="left" w:pos="426"/>
        </w:tabs>
        <w:overflowPunct/>
        <w:spacing w:after="0" w:line="360" w:lineRule="auto"/>
        <w:ind w:left="426" w:hanging="426"/>
        <w:jc w:val="both"/>
        <w:rPr>
          <w:rFonts w:ascii="Arial" w:eastAsia="Times New Roman" w:hAnsi="Arial" w:cs="Arial"/>
          <w:color w:val="auto"/>
          <w:spacing w:val="-4"/>
        </w:rPr>
      </w:pPr>
      <w:r w:rsidRPr="004F74DE">
        <w:rPr>
          <w:rFonts w:ascii="Arial" w:eastAsia="Times New Roman" w:hAnsi="Arial" w:cs="Arial"/>
          <w:color w:val="auto"/>
          <w:spacing w:val="-4"/>
        </w:rPr>
        <w:t xml:space="preserve">pisma nr </w:t>
      </w:r>
      <w:proofErr w:type="spellStart"/>
      <w:r w:rsidRPr="004F74DE">
        <w:rPr>
          <w:rFonts w:ascii="Arial" w:eastAsia="Times New Roman" w:hAnsi="Arial" w:cs="Arial"/>
          <w:color w:val="auto"/>
          <w:spacing w:val="-4"/>
        </w:rPr>
        <w:t>UiP</w:t>
      </w:r>
      <w:proofErr w:type="spellEnd"/>
      <w:r w:rsidRPr="004F74DE">
        <w:rPr>
          <w:rFonts w:ascii="Arial" w:eastAsia="Times New Roman" w:hAnsi="Arial" w:cs="Arial"/>
          <w:color w:val="auto"/>
          <w:spacing w:val="-4"/>
        </w:rPr>
        <w:t>/W/115/02/22 z 7.02.2022 r. od Kancelarii Prawniczej dotyczącego zapłaty na konto komornika sądowego zaliczki egzekucyjnej z datą wpływu do MZBM 7.02.2022</w:t>
      </w:r>
      <w:r w:rsidR="00B02D8E" w:rsidRPr="004F74DE">
        <w:rPr>
          <w:rFonts w:ascii="Arial" w:eastAsia="Times New Roman" w:hAnsi="Arial" w:cs="Arial"/>
          <w:color w:val="auto"/>
          <w:spacing w:val="-4"/>
        </w:rPr>
        <w:t> </w:t>
      </w:r>
      <w:r w:rsidRPr="004F74DE">
        <w:rPr>
          <w:rFonts w:ascii="Arial" w:eastAsia="Times New Roman" w:hAnsi="Arial" w:cs="Arial"/>
          <w:color w:val="auto"/>
          <w:spacing w:val="-4"/>
        </w:rPr>
        <w:t>r., wprowadzono do ksiąg rachunkowych pod datą księgowania 11.02.2022 r., z datą operacji gospodarczej i wystawienia dokumentu 7.02.2022 i datą zapisu 28.02.2022</w:t>
      </w:r>
      <w:r w:rsidR="00B02D8E" w:rsidRPr="004F74DE">
        <w:rPr>
          <w:rFonts w:ascii="Arial" w:eastAsia="Times New Roman" w:hAnsi="Arial" w:cs="Arial"/>
          <w:color w:val="auto"/>
          <w:spacing w:val="-4"/>
        </w:rPr>
        <w:t> </w:t>
      </w:r>
      <w:r w:rsidRPr="004F74DE">
        <w:rPr>
          <w:rFonts w:ascii="Arial" w:eastAsia="Times New Roman" w:hAnsi="Arial" w:cs="Arial"/>
          <w:color w:val="auto"/>
          <w:spacing w:val="-4"/>
        </w:rPr>
        <w:t>r.,</w:t>
      </w:r>
    </w:p>
    <w:p w14:paraId="5A812C94" w14:textId="645B314D" w:rsidR="00410047" w:rsidRPr="004F74DE" w:rsidRDefault="00677E8D" w:rsidP="00410047">
      <w:pPr>
        <w:pStyle w:val="Standard"/>
        <w:widowControl w:val="0"/>
        <w:numPr>
          <w:ilvl w:val="0"/>
          <w:numId w:val="13"/>
        </w:numPr>
        <w:tabs>
          <w:tab w:val="left" w:pos="-2410"/>
        </w:tabs>
        <w:overflowPunct/>
        <w:spacing w:after="0" w:line="360" w:lineRule="auto"/>
        <w:ind w:left="0" w:firstLine="0"/>
        <w:jc w:val="both"/>
        <w:rPr>
          <w:rFonts w:ascii="Arial" w:eastAsia="Times New Roman" w:hAnsi="Arial" w:cs="Arial"/>
          <w:color w:val="auto"/>
          <w:spacing w:val="-4"/>
        </w:rPr>
      </w:pPr>
      <w:r w:rsidRPr="004F74DE">
        <w:rPr>
          <w:rFonts w:ascii="Arial" w:eastAsia="Times New Roman" w:hAnsi="Arial" w:cs="Arial"/>
          <w:color w:val="auto"/>
          <w:spacing w:val="-4"/>
        </w:rPr>
        <w:t>Nieujmowanie</w:t>
      </w:r>
      <w:r w:rsidR="00BD6B74" w:rsidRPr="004F74DE">
        <w:rPr>
          <w:rFonts w:ascii="Arial" w:eastAsia="Times New Roman" w:hAnsi="Arial" w:cs="Arial"/>
          <w:color w:val="auto"/>
          <w:spacing w:val="-4"/>
        </w:rPr>
        <w:t xml:space="preserve"> na koncie 310 </w:t>
      </w:r>
      <w:r w:rsidR="00BD6B74" w:rsidRPr="004F74DE">
        <w:rPr>
          <w:rFonts w:ascii="Arial" w:eastAsia="Times New Roman" w:hAnsi="Arial" w:cs="Arial"/>
          <w:i/>
          <w:iCs/>
          <w:color w:val="auto"/>
          <w:spacing w:val="-4"/>
        </w:rPr>
        <w:t xml:space="preserve">Magazyn </w:t>
      </w:r>
      <w:r w:rsidRPr="004F74DE">
        <w:rPr>
          <w:rFonts w:ascii="Arial" w:eastAsia="Times New Roman" w:hAnsi="Arial" w:cs="Arial"/>
          <w:color w:val="auto"/>
          <w:spacing w:val="-4"/>
        </w:rPr>
        <w:t xml:space="preserve">nie </w:t>
      </w:r>
      <w:r w:rsidR="00BD6B74" w:rsidRPr="004F74DE">
        <w:rPr>
          <w:rFonts w:ascii="Arial" w:hAnsi="Arial" w:cs="Arial"/>
          <w:color w:val="auto"/>
          <w:spacing w:val="-4"/>
        </w:rPr>
        <w:t>wydanych do zużycia do 31.12. danego roku obrotowego, a zaliczonych bezpośrednio w</w:t>
      </w:r>
      <w:r w:rsidRPr="004F74DE">
        <w:rPr>
          <w:rFonts w:ascii="Arial" w:hAnsi="Arial" w:cs="Arial"/>
          <w:color w:val="auto"/>
          <w:spacing w:val="-4"/>
        </w:rPr>
        <w:t> </w:t>
      </w:r>
      <w:r w:rsidR="00BD6B74" w:rsidRPr="004F74DE">
        <w:rPr>
          <w:rFonts w:ascii="Arial" w:hAnsi="Arial" w:cs="Arial"/>
          <w:color w:val="auto"/>
          <w:spacing w:val="-4"/>
        </w:rPr>
        <w:t xml:space="preserve">koszty zakładu w momencie zakupu materiałów zgodnie z przeprowadzoną inwentaryzacją w drodze spisu z natury. </w:t>
      </w:r>
      <w:r w:rsidRPr="004F74DE">
        <w:rPr>
          <w:rFonts w:ascii="Arial" w:hAnsi="Arial" w:cs="Arial"/>
          <w:color w:val="auto"/>
          <w:spacing w:val="-4"/>
        </w:rPr>
        <w:t>Zgodnie z</w:t>
      </w:r>
      <w:r w:rsidR="00176E52" w:rsidRPr="004F74DE">
        <w:rPr>
          <w:rFonts w:ascii="Arial" w:hAnsi="Arial" w:cs="Arial"/>
          <w:color w:val="auto"/>
          <w:spacing w:val="-4"/>
        </w:rPr>
        <w:t> </w:t>
      </w:r>
      <w:r w:rsidRPr="004F74DE">
        <w:rPr>
          <w:rFonts w:ascii="Arial" w:hAnsi="Arial" w:cs="Arial"/>
          <w:color w:val="auto"/>
          <w:spacing w:val="-4"/>
        </w:rPr>
        <w:t>opisem do konta 310, zawartym w zakładowym planie kont MZBM, m</w:t>
      </w:r>
      <w:r w:rsidR="00BD6B74" w:rsidRPr="004F74DE">
        <w:rPr>
          <w:rFonts w:ascii="Arial" w:hAnsi="Arial" w:cs="Arial"/>
          <w:color w:val="auto"/>
          <w:spacing w:val="-4"/>
        </w:rPr>
        <w:t xml:space="preserve">ateriały te wycenia się i ujmuje na stronie Wn konta </w:t>
      </w:r>
      <w:r w:rsidR="00573FC6" w:rsidRPr="004F74DE">
        <w:rPr>
          <w:rFonts w:ascii="Arial" w:hAnsi="Arial" w:cs="Arial"/>
          <w:color w:val="auto"/>
          <w:spacing w:val="-4"/>
        </w:rPr>
        <w:t>310</w:t>
      </w:r>
      <w:r w:rsidR="00BD6B74" w:rsidRPr="004F74DE">
        <w:rPr>
          <w:rFonts w:ascii="Arial" w:hAnsi="Arial" w:cs="Arial"/>
          <w:color w:val="auto"/>
          <w:spacing w:val="-4"/>
        </w:rPr>
        <w:t xml:space="preserve"> pomniejszając koszty.</w:t>
      </w:r>
      <w:r w:rsidR="00BD6B74" w:rsidRPr="004F74DE">
        <w:rPr>
          <w:rFonts w:ascii="Arial" w:eastAsia="Times New Roman" w:hAnsi="Arial" w:cs="Arial"/>
          <w:color w:val="auto"/>
          <w:spacing w:val="-4"/>
        </w:rPr>
        <w:t xml:space="preserve"> </w:t>
      </w:r>
      <w:r w:rsidR="00BD6B74" w:rsidRPr="004F74DE">
        <w:rPr>
          <w:rFonts w:ascii="Arial" w:hAnsi="Arial" w:cs="Arial"/>
          <w:color w:val="auto"/>
          <w:spacing w:val="-4"/>
        </w:rPr>
        <w:t>W następnym roku obrotowym saldo konta 310 należy zaliczyć w koszty zakładu</w:t>
      </w:r>
      <w:r w:rsidR="00573FC6" w:rsidRPr="004F74DE">
        <w:rPr>
          <w:rFonts w:ascii="Arial" w:hAnsi="Arial" w:cs="Arial"/>
          <w:color w:val="auto"/>
          <w:spacing w:val="-4"/>
        </w:rPr>
        <w:t xml:space="preserve">. </w:t>
      </w:r>
      <w:r w:rsidRPr="004F74DE">
        <w:rPr>
          <w:rFonts w:ascii="Arial" w:hAnsi="Arial" w:cs="Arial"/>
          <w:color w:val="auto"/>
          <w:spacing w:val="-4"/>
        </w:rPr>
        <w:t>Zgodnie z § 13 polityki rachunkowości zakupy materiałów, materiałów biurowych, środków czystości dokonywane w trakcie roku obrotowego można zaliczyć w koszty w momencie ich zakupu, lecz nie wydane do zużycia do dnia 31 grudnia, podlegają inwentaryzacji w drodze spisu z natury, wycenie oraz ujęciu  na koncie 310 – „Materiały”.</w:t>
      </w:r>
      <w:r w:rsidRPr="004F74DE">
        <w:rPr>
          <w:rFonts w:ascii="Arial" w:eastAsia="Times New Roman" w:hAnsi="Arial" w:cs="Arial"/>
          <w:color w:val="auto"/>
          <w:spacing w:val="-4"/>
        </w:rPr>
        <w:t xml:space="preserve"> </w:t>
      </w:r>
      <w:r w:rsidR="00573FC6" w:rsidRPr="004F74DE">
        <w:rPr>
          <w:rFonts w:ascii="Arial" w:hAnsi="Arial" w:cs="Arial"/>
          <w:color w:val="auto"/>
          <w:spacing w:val="-4"/>
        </w:rPr>
        <w:t xml:space="preserve">Powyższe dotyczyło </w:t>
      </w:r>
      <w:r w:rsidRPr="004F74DE">
        <w:rPr>
          <w:rFonts w:ascii="Arial" w:hAnsi="Arial" w:cs="Arial"/>
          <w:color w:val="auto"/>
          <w:spacing w:val="-4"/>
        </w:rPr>
        <w:t xml:space="preserve">nieujęcia na koncie 310 </w:t>
      </w:r>
      <w:r w:rsidR="00573FC6" w:rsidRPr="004F74DE">
        <w:rPr>
          <w:rFonts w:ascii="Arial" w:hAnsi="Arial" w:cs="Arial"/>
          <w:color w:val="auto"/>
          <w:spacing w:val="-4"/>
        </w:rPr>
        <w:t>zinwentaryzowanego na 31.12.2022 r. paliwa samochodowego w ilości 40 litrów o wartości 298,52 zł, znajdującego się w zbiorniku samochodu</w:t>
      </w:r>
      <w:r w:rsidRPr="004F74DE">
        <w:rPr>
          <w:rFonts w:ascii="Arial" w:hAnsi="Arial" w:cs="Arial"/>
          <w:color w:val="auto"/>
          <w:spacing w:val="-4"/>
        </w:rPr>
        <w:t>.</w:t>
      </w:r>
      <w:r w:rsidRPr="004F74DE">
        <w:rPr>
          <w:rFonts w:ascii="Arial" w:eastAsia="Times New Roman" w:hAnsi="Arial" w:cs="Arial"/>
          <w:color w:val="auto"/>
          <w:spacing w:val="-4"/>
        </w:rPr>
        <w:t xml:space="preserve"> </w:t>
      </w:r>
    </w:p>
    <w:p w14:paraId="43B436DB" w14:textId="33659DAA" w:rsidR="006B7D5F" w:rsidRPr="00F0151C" w:rsidRDefault="006B7D5F" w:rsidP="00410047">
      <w:pPr>
        <w:pStyle w:val="Standard"/>
        <w:widowControl w:val="0"/>
        <w:numPr>
          <w:ilvl w:val="1"/>
          <w:numId w:val="65"/>
        </w:numPr>
        <w:tabs>
          <w:tab w:val="left" w:pos="-2410"/>
          <w:tab w:val="left" w:pos="426"/>
        </w:tabs>
        <w:overflowPunct/>
        <w:spacing w:after="0" w:line="360" w:lineRule="auto"/>
        <w:ind w:hanging="720"/>
        <w:jc w:val="both"/>
        <w:rPr>
          <w:rFonts w:ascii="Arial" w:eastAsia="Times New Roman" w:hAnsi="Arial" w:cs="Arial"/>
          <w:color w:val="auto"/>
          <w:spacing w:val="-2"/>
        </w:rPr>
      </w:pPr>
      <w:r w:rsidRPr="00F0151C">
        <w:rPr>
          <w:rFonts w:ascii="Arial" w:hAnsi="Arial" w:cs="Arial"/>
          <w:b/>
          <w:bCs/>
          <w:color w:val="auto"/>
        </w:rPr>
        <w:lastRenderedPageBreak/>
        <w:t>Gospodarka majątkiem trwałym i inwentaryzacja</w:t>
      </w:r>
    </w:p>
    <w:p w14:paraId="79E994F7" w14:textId="3BB1C4B0" w:rsidR="00DE0BC5" w:rsidRPr="00F0151C" w:rsidRDefault="00862637" w:rsidP="00DE0BC5">
      <w:pPr>
        <w:tabs>
          <w:tab w:val="left" w:pos="426"/>
        </w:tabs>
        <w:spacing w:after="0" w:line="360" w:lineRule="auto"/>
        <w:jc w:val="both"/>
        <w:rPr>
          <w:rFonts w:ascii="Arial" w:hAnsi="Arial" w:cs="Arial"/>
          <w:color w:val="auto"/>
          <w:spacing w:val="-2"/>
        </w:rPr>
      </w:pPr>
      <w:bookmarkStart w:id="20" w:name="_Hlk123035609"/>
      <w:r w:rsidRPr="00F0151C">
        <w:rPr>
          <w:rFonts w:ascii="Arial" w:hAnsi="Arial" w:cs="Arial"/>
          <w:color w:val="auto"/>
          <w:spacing w:val="-2"/>
        </w:rPr>
        <w:tab/>
      </w:r>
      <w:r w:rsidR="00DE0BC5" w:rsidRPr="00F0151C">
        <w:rPr>
          <w:rFonts w:ascii="Arial" w:hAnsi="Arial" w:cs="Arial"/>
          <w:color w:val="auto"/>
          <w:spacing w:val="-2"/>
        </w:rPr>
        <w:t xml:space="preserve">W ramach kontroli gospodarki majątkiem trwałym zakładu weryfikacji poddano zapisy księgowe na kontach 011, 013, 020, </w:t>
      </w:r>
      <w:r w:rsidR="001821B9" w:rsidRPr="00F0151C">
        <w:rPr>
          <w:rFonts w:ascii="Arial" w:hAnsi="Arial" w:cs="Arial"/>
          <w:color w:val="auto"/>
          <w:spacing w:val="-2"/>
        </w:rPr>
        <w:t xml:space="preserve">dwie </w:t>
      </w:r>
      <w:r w:rsidR="00DE0BC5" w:rsidRPr="00F0151C">
        <w:rPr>
          <w:rFonts w:ascii="Arial" w:hAnsi="Arial" w:cs="Arial"/>
          <w:color w:val="auto"/>
          <w:spacing w:val="-2"/>
        </w:rPr>
        <w:t>księgi inwentarzowe</w:t>
      </w:r>
      <w:r w:rsidR="001821B9" w:rsidRPr="00F0151C">
        <w:rPr>
          <w:rFonts w:ascii="Arial" w:hAnsi="Arial" w:cs="Arial"/>
          <w:color w:val="auto"/>
          <w:spacing w:val="-2"/>
        </w:rPr>
        <w:t xml:space="preserve"> </w:t>
      </w:r>
      <w:r w:rsidR="00DE0BC5" w:rsidRPr="00F0151C">
        <w:rPr>
          <w:rFonts w:ascii="Arial" w:hAnsi="Arial" w:cs="Arial"/>
          <w:color w:val="auto"/>
          <w:spacing w:val="-2"/>
        </w:rPr>
        <w:t>oraz wyrywkowo dokumenty źródłowe. Jak wynika z</w:t>
      </w:r>
      <w:r w:rsidR="001821B9" w:rsidRPr="00F0151C">
        <w:rPr>
          <w:rFonts w:ascii="Arial" w:hAnsi="Arial" w:cs="Arial"/>
          <w:color w:val="auto"/>
          <w:spacing w:val="-2"/>
        </w:rPr>
        <w:t> </w:t>
      </w:r>
      <w:r w:rsidR="00DE0BC5" w:rsidRPr="00F0151C">
        <w:rPr>
          <w:rFonts w:ascii="Arial" w:hAnsi="Arial" w:cs="Arial"/>
          <w:color w:val="auto"/>
          <w:spacing w:val="-2"/>
        </w:rPr>
        <w:t>dokumentacji przedłożonej do kontroli, zapisów na kontach 011, 013, 020 dokonuje się w</w:t>
      </w:r>
      <w:r w:rsidR="001821B9" w:rsidRPr="00F0151C">
        <w:rPr>
          <w:rFonts w:ascii="Arial" w:hAnsi="Arial" w:cs="Arial"/>
          <w:color w:val="auto"/>
          <w:spacing w:val="-2"/>
        </w:rPr>
        <w:t> </w:t>
      </w:r>
      <w:r w:rsidR="00DE0BC5" w:rsidRPr="00F0151C">
        <w:rPr>
          <w:rFonts w:ascii="Arial" w:hAnsi="Arial" w:cs="Arial"/>
          <w:color w:val="auto"/>
          <w:spacing w:val="-2"/>
        </w:rPr>
        <w:t xml:space="preserve">ujęciu syntetycznym, natomiast szczegółowa, analityczna ewidencja środków trwałych prowadzona jest w osobnym </w:t>
      </w:r>
      <w:r w:rsidRPr="00F0151C">
        <w:rPr>
          <w:rFonts w:ascii="Arial" w:hAnsi="Arial" w:cs="Arial"/>
          <w:color w:val="auto"/>
          <w:spacing w:val="-2"/>
        </w:rPr>
        <w:t>module programu komputerowego, tj. „Środki trwałe”</w:t>
      </w:r>
      <w:r w:rsidR="00DE0BC5" w:rsidRPr="00F0151C">
        <w:rPr>
          <w:rFonts w:ascii="Arial" w:hAnsi="Arial" w:cs="Arial"/>
          <w:color w:val="auto"/>
          <w:spacing w:val="-2"/>
        </w:rPr>
        <w:t>. Zgodnie z</w:t>
      </w:r>
      <w:r w:rsidR="001821B9" w:rsidRPr="00F0151C">
        <w:rPr>
          <w:rFonts w:ascii="Arial" w:hAnsi="Arial" w:cs="Arial"/>
          <w:color w:val="auto"/>
          <w:spacing w:val="-2"/>
        </w:rPr>
        <w:t> </w:t>
      </w:r>
      <w:r w:rsidR="00DE0BC5" w:rsidRPr="00F0151C">
        <w:rPr>
          <w:rFonts w:ascii="Arial" w:hAnsi="Arial" w:cs="Arial"/>
          <w:color w:val="auto"/>
          <w:spacing w:val="-2"/>
        </w:rPr>
        <w:t>k</w:t>
      </w:r>
      <w:r w:rsidR="00BF40BE" w:rsidRPr="00F0151C">
        <w:rPr>
          <w:rFonts w:ascii="Arial" w:hAnsi="Arial" w:cs="Arial"/>
          <w:color w:val="auto"/>
          <w:spacing w:val="-2"/>
        </w:rPr>
        <w:t>sięgami rachunkowymi</w:t>
      </w:r>
      <w:r w:rsidR="00DE0BC5" w:rsidRPr="00F0151C">
        <w:rPr>
          <w:rFonts w:ascii="Arial" w:hAnsi="Arial" w:cs="Arial"/>
          <w:color w:val="auto"/>
          <w:spacing w:val="-2"/>
        </w:rPr>
        <w:t xml:space="preserve"> wartość majątku zakładu wg stanu na dzień 31.12.20</w:t>
      </w:r>
      <w:r w:rsidR="00862A98" w:rsidRPr="00F0151C">
        <w:rPr>
          <w:rFonts w:ascii="Arial" w:hAnsi="Arial" w:cs="Arial"/>
          <w:color w:val="auto"/>
          <w:spacing w:val="-2"/>
        </w:rPr>
        <w:t>22</w:t>
      </w:r>
      <w:r w:rsidR="00DE0BC5" w:rsidRPr="00F0151C">
        <w:rPr>
          <w:rFonts w:ascii="Arial" w:hAnsi="Arial" w:cs="Arial"/>
          <w:color w:val="auto"/>
          <w:spacing w:val="-2"/>
        </w:rPr>
        <w:t xml:space="preserve"> r. przedstawiała się następująco:</w:t>
      </w:r>
    </w:p>
    <w:p w14:paraId="0009DAD8" w14:textId="77777777" w:rsidR="00313F60" w:rsidRPr="00F0151C" w:rsidRDefault="00313F60" w:rsidP="00DE0BC5">
      <w:pPr>
        <w:tabs>
          <w:tab w:val="left" w:pos="426"/>
        </w:tabs>
        <w:spacing w:after="0" w:line="360" w:lineRule="auto"/>
        <w:jc w:val="both"/>
        <w:rPr>
          <w:rFonts w:ascii="Arial" w:hAnsi="Arial" w:cs="Arial"/>
          <w:color w:val="auto"/>
          <w:spacing w:val="-2"/>
          <w:sz w:val="6"/>
          <w:szCs w:val="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398"/>
      </w:tblGrid>
      <w:tr w:rsidR="00F0151C" w:rsidRPr="00F0151C" w14:paraId="1ABBF550" w14:textId="77777777" w:rsidTr="00E86897">
        <w:tc>
          <w:tcPr>
            <w:tcW w:w="6521" w:type="dxa"/>
            <w:vAlign w:val="center"/>
          </w:tcPr>
          <w:p w14:paraId="606B1CB6" w14:textId="5C2DEE4D" w:rsidR="00C059CC" w:rsidRPr="00F0151C" w:rsidRDefault="00C059CC" w:rsidP="00384BC5">
            <w:pPr>
              <w:pStyle w:val="Akapitzlist"/>
              <w:numPr>
                <w:ilvl w:val="0"/>
                <w:numId w:val="12"/>
              </w:numPr>
              <w:tabs>
                <w:tab w:val="left" w:pos="445"/>
              </w:tabs>
              <w:ind w:left="37" w:hanging="10"/>
              <w:jc w:val="left"/>
              <w:rPr>
                <w:rFonts w:ascii="Arial" w:hAnsi="Arial" w:cs="Arial"/>
                <w:color w:val="auto"/>
                <w:spacing w:val="-2"/>
                <w:sz w:val="20"/>
                <w:lang w:val="pl-PL"/>
              </w:rPr>
            </w:pPr>
            <w:r w:rsidRPr="00F0151C">
              <w:rPr>
                <w:rFonts w:ascii="Arial" w:eastAsiaTheme="minorHAnsi" w:hAnsi="Arial" w:cs="Arial"/>
                <w:color w:val="auto"/>
                <w:sz w:val="20"/>
                <w:lang w:val="pl-PL" w:eastAsia="en-US"/>
              </w:rPr>
              <w:t>Grupa 00</w:t>
            </w:r>
            <w:r w:rsidR="00E86897" w:rsidRPr="00F0151C">
              <w:rPr>
                <w:rFonts w:ascii="Arial" w:eastAsiaTheme="minorHAnsi" w:hAnsi="Arial" w:cs="Arial"/>
                <w:color w:val="auto"/>
                <w:sz w:val="20"/>
                <w:lang w:val="pl-PL" w:eastAsia="en-US"/>
              </w:rPr>
              <w:t>1</w:t>
            </w:r>
            <w:r w:rsidRPr="00F0151C">
              <w:rPr>
                <w:rFonts w:ascii="Arial" w:eastAsiaTheme="minorHAnsi" w:hAnsi="Arial" w:cs="Arial"/>
                <w:color w:val="auto"/>
                <w:sz w:val="20"/>
                <w:lang w:val="pl-PL" w:eastAsia="en-US"/>
              </w:rPr>
              <w:t xml:space="preserve"> – grunty</w:t>
            </w:r>
          </w:p>
        </w:tc>
        <w:tc>
          <w:tcPr>
            <w:tcW w:w="2398" w:type="dxa"/>
            <w:vAlign w:val="center"/>
          </w:tcPr>
          <w:p w14:paraId="0839569A" w14:textId="656C694E" w:rsidR="00C059CC" w:rsidRPr="00F0151C" w:rsidRDefault="00313F60"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28</w:t>
            </w:r>
            <w:r w:rsidR="002043B4" w:rsidRPr="00F0151C">
              <w:rPr>
                <w:rFonts w:ascii="Arial" w:hAnsi="Arial" w:cs="Arial"/>
                <w:color w:val="auto"/>
                <w:spacing w:val="-2"/>
              </w:rPr>
              <w:t>6 199 155,37 zł</w:t>
            </w:r>
          </w:p>
        </w:tc>
      </w:tr>
      <w:tr w:rsidR="00F0151C" w:rsidRPr="00F0151C" w14:paraId="03025B1E" w14:textId="77777777" w:rsidTr="00E86897">
        <w:tc>
          <w:tcPr>
            <w:tcW w:w="6521" w:type="dxa"/>
            <w:vAlign w:val="center"/>
          </w:tcPr>
          <w:p w14:paraId="37BECDB6" w14:textId="42558EBB" w:rsidR="00C059CC" w:rsidRPr="00F0151C" w:rsidRDefault="00C059CC" w:rsidP="00384BC5">
            <w:pPr>
              <w:pStyle w:val="Akapitzlist"/>
              <w:numPr>
                <w:ilvl w:val="0"/>
                <w:numId w:val="12"/>
              </w:numPr>
              <w:tabs>
                <w:tab w:val="left" w:pos="445"/>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Grupa 00</w:t>
            </w:r>
            <w:r w:rsidR="00E86897" w:rsidRPr="00F0151C">
              <w:rPr>
                <w:rFonts w:ascii="Arial" w:eastAsiaTheme="minorHAnsi" w:hAnsi="Arial" w:cs="Arial"/>
                <w:color w:val="auto"/>
                <w:sz w:val="20"/>
                <w:lang w:val="pl-PL" w:eastAsia="en-US"/>
              </w:rPr>
              <w:t>2-10, 002-11</w:t>
            </w:r>
            <w:r w:rsidRPr="00F0151C">
              <w:rPr>
                <w:rFonts w:ascii="Arial" w:eastAsiaTheme="minorHAnsi" w:hAnsi="Arial" w:cs="Arial"/>
                <w:color w:val="auto"/>
                <w:sz w:val="20"/>
                <w:lang w:val="pl-PL" w:eastAsia="en-US"/>
              </w:rPr>
              <w:t xml:space="preserve"> – budynki</w:t>
            </w:r>
            <w:r w:rsidR="00E86897" w:rsidRPr="00F0151C">
              <w:rPr>
                <w:rFonts w:ascii="Arial" w:eastAsiaTheme="minorHAnsi" w:hAnsi="Arial" w:cs="Arial"/>
                <w:color w:val="auto"/>
                <w:sz w:val="20"/>
                <w:lang w:val="pl-PL" w:eastAsia="en-US"/>
              </w:rPr>
              <w:t xml:space="preserve"> niemieszkalne i mieszkalne</w:t>
            </w:r>
          </w:p>
        </w:tc>
        <w:tc>
          <w:tcPr>
            <w:tcW w:w="2398" w:type="dxa"/>
            <w:vAlign w:val="center"/>
          </w:tcPr>
          <w:p w14:paraId="2DE69C2E" w14:textId="75CF5FC1" w:rsidR="00C059CC" w:rsidRPr="00F0151C" w:rsidRDefault="00D438FF"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248 582 416,01 </w:t>
            </w:r>
            <w:r w:rsidR="002043B4" w:rsidRPr="00F0151C">
              <w:rPr>
                <w:rFonts w:ascii="Arial" w:hAnsi="Arial" w:cs="Arial"/>
                <w:color w:val="auto"/>
                <w:spacing w:val="-2"/>
              </w:rPr>
              <w:t>zł</w:t>
            </w:r>
          </w:p>
        </w:tc>
      </w:tr>
      <w:tr w:rsidR="00F0151C" w:rsidRPr="00F0151C" w14:paraId="0F460595" w14:textId="77777777" w:rsidTr="00E86897">
        <w:tc>
          <w:tcPr>
            <w:tcW w:w="6521" w:type="dxa"/>
            <w:vAlign w:val="center"/>
          </w:tcPr>
          <w:p w14:paraId="0C6E4F8A" w14:textId="2F3AAE82" w:rsidR="00C059CC" w:rsidRPr="00F0151C" w:rsidRDefault="00C059CC" w:rsidP="00384BC5">
            <w:pPr>
              <w:pStyle w:val="Akapitzlist"/>
              <w:numPr>
                <w:ilvl w:val="0"/>
                <w:numId w:val="12"/>
              </w:numPr>
              <w:tabs>
                <w:tab w:val="left" w:pos="445"/>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Grupa 002</w:t>
            </w:r>
            <w:r w:rsidR="00E86897" w:rsidRPr="00F0151C">
              <w:rPr>
                <w:rFonts w:ascii="Arial" w:eastAsiaTheme="minorHAnsi" w:hAnsi="Arial" w:cs="Arial"/>
                <w:color w:val="auto"/>
                <w:sz w:val="20"/>
                <w:lang w:val="pl-PL" w:eastAsia="en-US"/>
              </w:rPr>
              <w:t>-02</w:t>
            </w:r>
            <w:r w:rsidRPr="00F0151C">
              <w:rPr>
                <w:rFonts w:ascii="Arial" w:eastAsiaTheme="minorHAnsi" w:hAnsi="Arial" w:cs="Arial"/>
                <w:color w:val="auto"/>
                <w:sz w:val="20"/>
                <w:lang w:val="pl-PL" w:eastAsia="en-US"/>
              </w:rPr>
              <w:t xml:space="preserve"> – budowle</w:t>
            </w:r>
          </w:p>
        </w:tc>
        <w:tc>
          <w:tcPr>
            <w:tcW w:w="2398" w:type="dxa"/>
            <w:vAlign w:val="center"/>
          </w:tcPr>
          <w:p w14:paraId="7EEE191A" w14:textId="055A6B09" w:rsidR="00C059CC" w:rsidRPr="00F0151C" w:rsidRDefault="00D438FF"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41 376 016,42 </w:t>
            </w:r>
            <w:r w:rsidR="002043B4" w:rsidRPr="00F0151C">
              <w:rPr>
                <w:rFonts w:ascii="Arial" w:hAnsi="Arial" w:cs="Arial"/>
                <w:color w:val="auto"/>
                <w:spacing w:val="-2"/>
              </w:rPr>
              <w:t>zł</w:t>
            </w:r>
          </w:p>
        </w:tc>
      </w:tr>
      <w:tr w:rsidR="00F0151C" w:rsidRPr="00F0151C" w14:paraId="0337069B" w14:textId="77777777" w:rsidTr="00E86897">
        <w:tc>
          <w:tcPr>
            <w:tcW w:w="6521" w:type="dxa"/>
            <w:vAlign w:val="center"/>
          </w:tcPr>
          <w:p w14:paraId="0C50D529" w14:textId="220E68D2" w:rsidR="00C059CC" w:rsidRPr="00F0151C" w:rsidRDefault="00C059CC" w:rsidP="00384BC5">
            <w:pPr>
              <w:pStyle w:val="Akapitzlist"/>
              <w:numPr>
                <w:ilvl w:val="0"/>
                <w:numId w:val="12"/>
              </w:numPr>
              <w:tabs>
                <w:tab w:val="left" w:pos="445"/>
                <w:tab w:val="left" w:pos="483"/>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Grupa 003</w:t>
            </w:r>
            <w:r w:rsidR="00E86897" w:rsidRPr="00F0151C">
              <w:rPr>
                <w:rFonts w:ascii="Arial" w:eastAsiaTheme="minorHAnsi" w:hAnsi="Arial" w:cs="Arial"/>
                <w:color w:val="auto"/>
                <w:sz w:val="20"/>
                <w:lang w:val="pl-PL" w:eastAsia="en-US"/>
              </w:rPr>
              <w:t>-03</w:t>
            </w:r>
            <w:r w:rsidRPr="00F0151C">
              <w:rPr>
                <w:rFonts w:ascii="Arial" w:eastAsiaTheme="minorHAnsi" w:hAnsi="Arial" w:cs="Arial"/>
                <w:color w:val="auto"/>
                <w:sz w:val="20"/>
                <w:lang w:val="pl-PL" w:eastAsia="en-US"/>
              </w:rPr>
              <w:t xml:space="preserve"> – urządzenia grzewcze</w:t>
            </w:r>
          </w:p>
        </w:tc>
        <w:tc>
          <w:tcPr>
            <w:tcW w:w="2398" w:type="dxa"/>
            <w:vAlign w:val="center"/>
          </w:tcPr>
          <w:p w14:paraId="140E49EF" w14:textId="1D5FDE55" w:rsidR="00C059CC" w:rsidRPr="00F0151C" w:rsidRDefault="00E86897"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115 687,75 </w:t>
            </w:r>
            <w:r w:rsidR="002043B4" w:rsidRPr="00F0151C">
              <w:rPr>
                <w:rFonts w:ascii="Arial" w:hAnsi="Arial" w:cs="Arial"/>
                <w:color w:val="auto"/>
                <w:spacing w:val="-2"/>
              </w:rPr>
              <w:t>zł</w:t>
            </w:r>
          </w:p>
        </w:tc>
      </w:tr>
      <w:tr w:rsidR="00F0151C" w:rsidRPr="00F0151C" w14:paraId="354061CF" w14:textId="77777777" w:rsidTr="00E86897">
        <w:tc>
          <w:tcPr>
            <w:tcW w:w="6521" w:type="dxa"/>
            <w:vAlign w:val="center"/>
          </w:tcPr>
          <w:p w14:paraId="7105254C" w14:textId="6BD24266" w:rsidR="00C059CC" w:rsidRPr="00F0151C" w:rsidRDefault="00C059CC" w:rsidP="00384BC5">
            <w:pPr>
              <w:pStyle w:val="Akapitzlist"/>
              <w:numPr>
                <w:ilvl w:val="0"/>
                <w:numId w:val="12"/>
              </w:numPr>
              <w:tabs>
                <w:tab w:val="left" w:pos="445"/>
                <w:tab w:val="left" w:pos="497"/>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Grupa 00</w:t>
            </w:r>
            <w:r w:rsidR="00E86897" w:rsidRPr="00F0151C">
              <w:rPr>
                <w:rFonts w:ascii="Arial" w:eastAsiaTheme="minorHAnsi" w:hAnsi="Arial" w:cs="Arial"/>
                <w:color w:val="auto"/>
                <w:sz w:val="20"/>
                <w:lang w:val="pl-PL" w:eastAsia="en-US"/>
              </w:rPr>
              <w:t>3-04</w:t>
            </w:r>
            <w:r w:rsidRPr="00F0151C">
              <w:rPr>
                <w:rFonts w:ascii="Arial" w:eastAsiaTheme="minorHAnsi" w:hAnsi="Arial" w:cs="Arial"/>
                <w:color w:val="auto"/>
                <w:sz w:val="20"/>
                <w:lang w:val="pl-PL" w:eastAsia="en-US"/>
              </w:rPr>
              <w:t xml:space="preserve"> – urządzenia elektroniczne</w:t>
            </w:r>
          </w:p>
        </w:tc>
        <w:tc>
          <w:tcPr>
            <w:tcW w:w="2398" w:type="dxa"/>
            <w:vAlign w:val="center"/>
          </w:tcPr>
          <w:p w14:paraId="6D74CF44" w14:textId="761CE3FD" w:rsidR="00C059CC" w:rsidRPr="00F0151C" w:rsidRDefault="00E86897"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1 251 665,41 </w:t>
            </w:r>
            <w:r w:rsidR="002043B4" w:rsidRPr="00F0151C">
              <w:rPr>
                <w:rFonts w:ascii="Arial" w:hAnsi="Arial" w:cs="Arial"/>
                <w:color w:val="auto"/>
                <w:spacing w:val="-2"/>
              </w:rPr>
              <w:t>zł</w:t>
            </w:r>
          </w:p>
        </w:tc>
      </w:tr>
      <w:tr w:rsidR="00F0151C" w:rsidRPr="00F0151C" w14:paraId="78A21358" w14:textId="77777777" w:rsidTr="00E86897">
        <w:tc>
          <w:tcPr>
            <w:tcW w:w="6521" w:type="dxa"/>
            <w:vAlign w:val="center"/>
          </w:tcPr>
          <w:p w14:paraId="01F510A7" w14:textId="794D20E4" w:rsidR="00C059CC" w:rsidRPr="00F0151C" w:rsidRDefault="00C059CC" w:rsidP="00384BC5">
            <w:pPr>
              <w:pStyle w:val="Akapitzlist"/>
              <w:numPr>
                <w:ilvl w:val="0"/>
                <w:numId w:val="12"/>
              </w:numPr>
              <w:tabs>
                <w:tab w:val="left" w:pos="445"/>
                <w:tab w:val="left" w:pos="511"/>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Grupa 00</w:t>
            </w:r>
            <w:r w:rsidR="00E86897" w:rsidRPr="00F0151C">
              <w:rPr>
                <w:rFonts w:ascii="Arial" w:eastAsiaTheme="minorHAnsi" w:hAnsi="Arial" w:cs="Arial"/>
                <w:color w:val="auto"/>
                <w:sz w:val="20"/>
                <w:lang w:val="pl-PL" w:eastAsia="en-US"/>
              </w:rPr>
              <w:t>3-06</w:t>
            </w:r>
            <w:r w:rsidRPr="00F0151C">
              <w:rPr>
                <w:rFonts w:ascii="Arial" w:eastAsiaTheme="minorHAnsi" w:hAnsi="Arial" w:cs="Arial"/>
                <w:color w:val="auto"/>
                <w:sz w:val="20"/>
                <w:lang w:val="pl-PL" w:eastAsia="en-US"/>
              </w:rPr>
              <w:t xml:space="preserve"> – urządzenia techniczne</w:t>
            </w:r>
          </w:p>
        </w:tc>
        <w:tc>
          <w:tcPr>
            <w:tcW w:w="2398" w:type="dxa"/>
            <w:vAlign w:val="center"/>
          </w:tcPr>
          <w:p w14:paraId="318C90F7" w14:textId="34B93326" w:rsidR="00C059CC" w:rsidRPr="00F0151C" w:rsidRDefault="00E86897"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860 612,02 </w:t>
            </w:r>
            <w:r w:rsidR="002043B4" w:rsidRPr="00F0151C">
              <w:rPr>
                <w:rFonts w:ascii="Arial" w:hAnsi="Arial" w:cs="Arial"/>
                <w:color w:val="auto"/>
                <w:spacing w:val="-2"/>
              </w:rPr>
              <w:t>zł</w:t>
            </w:r>
          </w:p>
        </w:tc>
      </w:tr>
      <w:tr w:rsidR="00F0151C" w:rsidRPr="00F0151C" w14:paraId="086664DE" w14:textId="77777777" w:rsidTr="00E86897">
        <w:tc>
          <w:tcPr>
            <w:tcW w:w="6521" w:type="dxa"/>
            <w:vAlign w:val="center"/>
          </w:tcPr>
          <w:p w14:paraId="7CCD0FF9" w14:textId="5EA0E985" w:rsidR="00C059CC" w:rsidRPr="00F0151C" w:rsidRDefault="00C059CC" w:rsidP="00384BC5">
            <w:pPr>
              <w:pStyle w:val="Akapitzlist"/>
              <w:numPr>
                <w:ilvl w:val="0"/>
                <w:numId w:val="12"/>
              </w:numPr>
              <w:tabs>
                <w:tab w:val="left" w:pos="445"/>
                <w:tab w:val="left" w:pos="511"/>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Grupa 00</w:t>
            </w:r>
            <w:r w:rsidR="00E86897" w:rsidRPr="00F0151C">
              <w:rPr>
                <w:rFonts w:ascii="Arial" w:eastAsiaTheme="minorHAnsi" w:hAnsi="Arial" w:cs="Arial"/>
                <w:color w:val="auto"/>
                <w:sz w:val="20"/>
                <w:lang w:val="pl-PL" w:eastAsia="en-US"/>
              </w:rPr>
              <w:t>4-07</w:t>
            </w:r>
            <w:r w:rsidRPr="00F0151C">
              <w:rPr>
                <w:rFonts w:ascii="Arial" w:eastAsiaTheme="minorHAnsi" w:hAnsi="Arial" w:cs="Arial"/>
                <w:color w:val="auto"/>
                <w:sz w:val="20"/>
                <w:lang w:val="pl-PL" w:eastAsia="en-US"/>
              </w:rPr>
              <w:t xml:space="preserve"> – środki transportu</w:t>
            </w:r>
          </w:p>
        </w:tc>
        <w:tc>
          <w:tcPr>
            <w:tcW w:w="2398" w:type="dxa"/>
            <w:vAlign w:val="center"/>
          </w:tcPr>
          <w:p w14:paraId="61EAD125" w14:textId="202AFD19" w:rsidR="00C059CC" w:rsidRPr="00F0151C" w:rsidRDefault="00E86897"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75 644,62 </w:t>
            </w:r>
            <w:r w:rsidR="002043B4" w:rsidRPr="00F0151C">
              <w:rPr>
                <w:rFonts w:ascii="Arial" w:hAnsi="Arial" w:cs="Arial"/>
                <w:color w:val="auto"/>
                <w:spacing w:val="-2"/>
              </w:rPr>
              <w:t>zł</w:t>
            </w:r>
          </w:p>
        </w:tc>
      </w:tr>
      <w:tr w:rsidR="00F0151C" w:rsidRPr="00F0151C" w14:paraId="53BAC94B" w14:textId="77777777" w:rsidTr="00E86897">
        <w:tc>
          <w:tcPr>
            <w:tcW w:w="6521" w:type="dxa"/>
            <w:vAlign w:val="center"/>
          </w:tcPr>
          <w:p w14:paraId="5B3845C1" w14:textId="18AD9A2E" w:rsidR="00C059CC" w:rsidRPr="00F0151C" w:rsidRDefault="00C059CC" w:rsidP="00384BC5">
            <w:pPr>
              <w:pStyle w:val="Akapitzlist"/>
              <w:numPr>
                <w:ilvl w:val="0"/>
                <w:numId w:val="12"/>
              </w:numPr>
              <w:tabs>
                <w:tab w:val="left" w:pos="445"/>
                <w:tab w:val="left" w:pos="483"/>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Grupa 00</w:t>
            </w:r>
            <w:r w:rsidR="00E86897" w:rsidRPr="00F0151C">
              <w:rPr>
                <w:rFonts w:ascii="Arial" w:eastAsiaTheme="minorHAnsi" w:hAnsi="Arial" w:cs="Arial"/>
                <w:color w:val="auto"/>
                <w:sz w:val="20"/>
                <w:lang w:val="pl-PL" w:eastAsia="en-US"/>
              </w:rPr>
              <w:t>5-08</w:t>
            </w:r>
            <w:r w:rsidRPr="00F0151C">
              <w:rPr>
                <w:rFonts w:ascii="Arial" w:eastAsiaTheme="minorHAnsi" w:hAnsi="Arial" w:cs="Arial"/>
                <w:color w:val="auto"/>
                <w:sz w:val="20"/>
                <w:lang w:val="pl-PL" w:eastAsia="en-US"/>
              </w:rPr>
              <w:t xml:space="preserve"> – wyposażenie</w:t>
            </w:r>
          </w:p>
        </w:tc>
        <w:tc>
          <w:tcPr>
            <w:tcW w:w="2398" w:type="dxa"/>
            <w:vAlign w:val="center"/>
          </w:tcPr>
          <w:p w14:paraId="18D8E44B" w14:textId="4C570FB4" w:rsidR="00C059CC" w:rsidRPr="00F0151C" w:rsidRDefault="00E86897"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773 844,22 </w:t>
            </w:r>
            <w:r w:rsidR="002043B4" w:rsidRPr="00F0151C">
              <w:rPr>
                <w:rFonts w:ascii="Arial" w:hAnsi="Arial" w:cs="Arial"/>
                <w:color w:val="auto"/>
                <w:spacing w:val="-2"/>
              </w:rPr>
              <w:t>zł</w:t>
            </w:r>
          </w:p>
        </w:tc>
      </w:tr>
      <w:tr w:rsidR="00F0151C" w:rsidRPr="00F0151C" w14:paraId="13CA01FD" w14:textId="77777777" w:rsidTr="00E86897">
        <w:tc>
          <w:tcPr>
            <w:tcW w:w="6521" w:type="dxa"/>
            <w:vAlign w:val="center"/>
          </w:tcPr>
          <w:p w14:paraId="78E0D9F1" w14:textId="74DCF3EC" w:rsidR="00C059CC" w:rsidRPr="00F0151C" w:rsidRDefault="00C059CC" w:rsidP="00956CB5">
            <w:pPr>
              <w:pStyle w:val="Akapitzlist"/>
              <w:tabs>
                <w:tab w:val="left" w:pos="426"/>
              </w:tabs>
              <w:ind w:left="37" w:hanging="10"/>
              <w:jc w:val="right"/>
              <w:rPr>
                <w:rFonts w:ascii="Arial" w:hAnsi="Arial" w:cs="Arial"/>
                <w:color w:val="auto"/>
                <w:spacing w:val="-2"/>
                <w:sz w:val="20"/>
                <w:lang w:val="pl-PL"/>
              </w:rPr>
            </w:pPr>
            <w:r w:rsidRPr="00F0151C">
              <w:rPr>
                <w:rFonts w:ascii="Arial" w:eastAsiaTheme="minorHAnsi" w:hAnsi="Arial" w:cs="Arial"/>
                <w:b/>
                <w:color w:val="auto"/>
                <w:sz w:val="20"/>
                <w:lang w:val="pl-PL" w:eastAsia="en-US"/>
              </w:rPr>
              <w:t>RAZEM:</w:t>
            </w:r>
          </w:p>
        </w:tc>
        <w:tc>
          <w:tcPr>
            <w:tcW w:w="2398" w:type="dxa"/>
            <w:vAlign w:val="center"/>
          </w:tcPr>
          <w:p w14:paraId="6515E39E" w14:textId="19F64996" w:rsidR="00C059CC" w:rsidRPr="00F0151C" w:rsidRDefault="00E86897" w:rsidP="002043B4">
            <w:pPr>
              <w:tabs>
                <w:tab w:val="left" w:pos="426"/>
              </w:tabs>
              <w:spacing w:line="360" w:lineRule="auto"/>
              <w:jc w:val="right"/>
              <w:rPr>
                <w:rFonts w:ascii="Arial" w:hAnsi="Arial" w:cs="Arial"/>
                <w:b/>
                <w:bCs/>
                <w:color w:val="auto"/>
                <w:spacing w:val="-2"/>
              </w:rPr>
            </w:pPr>
            <w:r w:rsidRPr="00F0151C">
              <w:rPr>
                <w:rFonts w:ascii="Arial" w:hAnsi="Arial" w:cs="Arial"/>
                <w:b/>
                <w:bCs/>
                <w:color w:val="auto"/>
                <w:spacing w:val="-2"/>
              </w:rPr>
              <w:t xml:space="preserve">579 235 041,82 zł </w:t>
            </w:r>
          </w:p>
        </w:tc>
      </w:tr>
      <w:tr w:rsidR="00F0151C" w:rsidRPr="00F0151C" w14:paraId="14ED84EF" w14:textId="77777777" w:rsidTr="00E86897">
        <w:tc>
          <w:tcPr>
            <w:tcW w:w="6521" w:type="dxa"/>
            <w:vAlign w:val="center"/>
          </w:tcPr>
          <w:p w14:paraId="47BAF55E" w14:textId="6549E9FE" w:rsidR="00C059CC" w:rsidRPr="00F0151C" w:rsidRDefault="00C059CC" w:rsidP="00384BC5">
            <w:pPr>
              <w:pStyle w:val="Akapitzlist"/>
              <w:numPr>
                <w:ilvl w:val="0"/>
                <w:numId w:val="12"/>
              </w:numPr>
              <w:tabs>
                <w:tab w:val="left" w:pos="458"/>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Wartości niematerialne i prawne</w:t>
            </w:r>
          </w:p>
        </w:tc>
        <w:tc>
          <w:tcPr>
            <w:tcW w:w="2398" w:type="dxa"/>
            <w:vAlign w:val="center"/>
          </w:tcPr>
          <w:p w14:paraId="6A63E24D" w14:textId="743DA468" w:rsidR="00C059CC" w:rsidRPr="00F0151C" w:rsidRDefault="00E86897"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242 362,06 </w:t>
            </w:r>
            <w:r w:rsidR="002043B4" w:rsidRPr="00F0151C">
              <w:rPr>
                <w:rFonts w:ascii="Arial" w:hAnsi="Arial" w:cs="Arial"/>
                <w:color w:val="auto"/>
                <w:spacing w:val="-2"/>
              </w:rPr>
              <w:t>zł</w:t>
            </w:r>
          </w:p>
        </w:tc>
      </w:tr>
      <w:tr w:rsidR="00BF40BE" w:rsidRPr="00F0151C" w14:paraId="36273C7D" w14:textId="77777777" w:rsidTr="00E86897">
        <w:tc>
          <w:tcPr>
            <w:tcW w:w="6521" w:type="dxa"/>
            <w:vAlign w:val="center"/>
          </w:tcPr>
          <w:p w14:paraId="0B323ABD" w14:textId="1A503EAE" w:rsidR="00C059CC" w:rsidRPr="00F0151C" w:rsidRDefault="00C059CC" w:rsidP="00384BC5">
            <w:pPr>
              <w:pStyle w:val="Akapitzlist"/>
              <w:numPr>
                <w:ilvl w:val="0"/>
                <w:numId w:val="12"/>
              </w:numPr>
              <w:tabs>
                <w:tab w:val="left" w:pos="445"/>
              </w:tabs>
              <w:ind w:left="37" w:hanging="10"/>
              <w:rPr>
                <w:rFonts w:ascii="Arial" w:hAnsi="Arial" w:cs="Arial"/>
                <w:color w:val="auto"/>
                <w:spacing w:val="-2"/>
                <w:sz w:val="20"/>
                <w:lang w:val="pl-PL"/>
              </w:rPr>
            </w:pPr>
            <w:r w:rsidRPr="00F0151C">
              <w:rPr>
                <w:rFonts w:ascii="Arial" w:eastAsiaTheme="minorHAnsi" w:hAnsi="Arial" w:cs="Arial"/>
                <w:color w:val="auto"/>
                <w:sz w:val="20"/>
                <w:lang w:val="pl-PL" w:eastAsia="en-US"/>
              </w:rPr>
              <w:t>Pozostałe środki trwałe</w:t>
            </w:r>
            <w:r w:rsidRPr="00F0151C">
              <w:rPr>
                <w:rFonts w:ascii="Arial" w:eastAsiaTheme="minorHAnsi" w:hAnsi="Arial" w:cs="Arial"/>
                <w:color w:val="auto"/>
                <w:sz w:val="20"/>
                <w:lang w:val="pl-PL" w:eastAsia="en-US"/>
              </w:rPr>
              <w:tab/>
            </w:r>
          </w:p>
        </w:tc>
        <w:tc>
          <w:tcPr>
            <w:tcW w:w="2398" w:type="dxa"/>
            <w:vAlign w:val="center"/>
          </w:tcPr>
          <w:p w14:paraId="21041F08" w14:textId="5CDF18AE" w:rsidR="00C059CC" w:rsidRPr="00F0151C" w:rsidRDefault="00E86897" w:rsidP="002043B4">
            <w:pPr>
              <w:tabs>
                <w:tab w:val="left" w:pos="426"/>
              </w:tabs>
              <w:spacing w:line="360" w:lineRule="auto"/>
              <w:jc w:val="right"/>
              <w:rPr>
                <w:rFonts w:ascii="Arial" w:hAnsi="Arial" w:cs="Arial"/>
                <w:color w:val="auto"/>
                <w:spacing w:val="-2"/>
              </w:rPr>
            </w:pPr>
            <w:r w:rsidRPr="00F0151C">
              <w:rPr>
                <w:rFonts w:ascii="Arial" w:hAnsi="Arial" w:cs="Arial"/>
                <w:color w:val="auto"/>
                <w:spacing w:val="-2"/>
              </w:rPr>
              <w:t xml:space="preserve">1 066 600,85 </w:t>
            </w:r>
            <w:r w:rsidR="002043B4" w:rsidRPr="00F0151C">
              <w:rPr>
                <w:rFonts w:ascii="Arial" w:hAnsi="Arial" w:cs="Arial"/>
                <w:color w:val="auto"/>
                <w:spacing w:val="-2"/>
              </w:rPr>
              <w:t>zł</w:t>
            </w:r>
          </w:p>
        </w:tc>
      </w:tr>
    </w:tbl>
    <w:p w14:paraId="206A1F61" w14:textId="77777777" w:rsidR="00C059CC" w:rsidRPr="00F0151C" w:rsidRDefault="00C059CC" w:rsidP="00DE0BC5">
      <w:pPr>
        <w:tabs>
          <w:tab w:val="left" w:pos="426"/>
        </w:tabs>
        <w:spacing w:after="0" w:line="360" w:lineRule="auto"/>
        <w:jc w:val="both"/>
        <w:rPr>
          <w:rFonts w:ascii="Arial" w:hAnsi="Arial" w:cs="Arial"/>
          <w:color w:val="auto"/>
          <w:spacing w:val="-2"/>
          <w:sz w:val="6"/>
          <w:szCs w:val="6"/>
        </w:rPr>
      </w:pPr>
    </w:p>
    <w:p w14:paraId="5C37B74C" w14:textId="6712F10E" w:rsidR="00DE0BC5" w:rsidRPr="00F0151C" w:rsidRDefault="00DE0BC5" w:rsidP="00DE0BC5">
      <w:pPr>
        <w:tabs>
          <w:tab w:val="left" w:pos="567"/>
        </w:tabs>
        <w:spacing w:after="0" w:line="360" w:lineRule="auto"/>
        <w:jc w:val="both"/>
        <w:rPr>
          <w:rFonts w:ascii="Arial" w:hAnsi="Arial" w:cs="Arial"/>
          <w:color w:val="auto"/>
        </w:rPr>
      </w:pPr>
      <w:r w:rsidRPr="00F0151C">
        <w:rPr>
          <w:rFonts w:ascii="Arial" w:hAnsi="Arial" w:cs="Arial"/>
          <w:color w:val="auto"/>
        </w:rPr>
        <w:t xml:space="preserve">Powyższe dane porównano z danymi wynikającymi z </w:t>
      </w:r>
      <w:r w:rsidR="00BF40BE" w:rsidRPr="00F0151C">
        <w:rPr>
          <w:rFonts w:ascii="Arial" w:hAnsi="Arial" w:cs="Arial"/>
          <w:color w:val="auto"/>
        </w:rPr>
        <w:t xml:space="preserve">wydrukiem z </w:t>
      </w:r>
      <w:r w:rsidR="002300C1" w:rsidRPr="00F0151C">
        <w:rPr>
          <w:rFonts w:ascii="Arial" w:hAnsi="Arial" w:cs="Arial"/>
          <w:color w:val="auto"/>
        </w:rPr>
        <w:t>programu komputerowego Papirus SQL</w:t>
      </w:r>
      <w:r w:rsidR="001821B9" w:rsidRPr="00F0151C">
        <w:rPr>
          <w:rFonts w:ascii="Arial" w:hAnsi="Arial" w:cs="Arial"/>
          <w:color w:val="auto"/>
        </w:rPr>
        <w:t xml:space="preserve"> </w:t>
      </w:r>
      <w:r w:rsidR="00BF40BE" w:rsidRPr="00F0151C">
        <w:rPr>
          <w:rFonts w:ascii="Arial" w:hAnsi="Arial" w:cs="Arial"/>
          <w:color w:val="auto"/>
        </w:rPr>
        <w:t>modułu „Środki trwałe”</w:t>
      </w:r>
      <w:r w:rsidR="00E96C1F" w:rsidRPr="00F0151C">
        <w:rPr>
          <w:rFonts w:ascii="Arial" w:hAnsi="Arial" w:cs="Arial"/>
          <w:color w:val="auto"/>
        </w:rPr>
        <w:t>, nie stwierdzając nieprawidłowości.</w:t>
      </w:r>
      <w:r w:rsidR="00BF40BE" w:rsidRPr="00F0151C">
        <w:rPr>
          <w:rFonts w:ascii="Arial" w:hAnsi="Arial" w:cs="Arial"/>
          <w:color w:val="auto"/>
        </w:rPr>
        <w:t xml:space="preserve"> </w:t>
      </w:r>
      <w:r w:rsidR="002300C1" w:rsidRPr="00F0151C">
        <w:rPr>
          <w:rFonts w:ascii="Arial" w:hAnsi="Arial" w:cs="Arial"/>
          <w:color w:val="auto"/>
        </w:rPr>
        <w:t>Weryfikacji poddano księgi inwentarzowe prowadzone w formie papierowej dla DT</w:t>
      </w:r>
      <w:r w:rsidR="002847ED">
        <w:rPr>
          <w:rFonts w:ascii="Arial" w:hAnsi="Arial" w:cs="Arial"/>
          <w:color w:val="auto"/>
        </w:rPr>
        <w:t>E</w:t>
      </w:r>
      <w:r w:rsidR="00C23C6B" w:rsidRPr="00F0151C">
        <w:rPr>
          <w:rFonts w:ascii="Arial" w:hAnsi="Arial" w:cs="Arial"/>
          <w:color w:val="auto"/>
        </w:rPr>
        <w:t xml:space="preserve"> oraz DPA</w:t>
      </w:r>
      <w:r w:rsidR="002300C1" w:rsidRPr="00F0151C">
        <w:rPr>
          <w:rFonts w:ascii="Arial" w:hAnsi="Arial" w:cs="Arial"/>
          <w:color w:val="auto"/>
        </w:rPr>
        <w:t xml:space="preserve"> stwierdzając</w:t>
      </w:r>
      <w:r w:rsidR="00527341" w:rsidRPr="00F0151C">
        <w:rPr>
          <w:rFonts w:ascii="Arial" w:hAnsi="Arial" w:cs="Arial"/>
          <w:color w:val="auto"/>
        </w:rPr>
        <w:t>,</w:t>
      </w:r>
      <w:r w:rsidR="002300C1" w:rsidRPr="00F0151C">
        <w:rPr>
          <w:rFonts w:ascii="Arial" w:hAnsi="Arial" w:cs="Arial"/>
          <w:color w:val="auto"/>
        </w:rPr>
        <w:t xml:space="preserve"> </w:t>
      </w:r>
      <w:r w:rsidR="00527341" w:rsidRPr="00F0151C">
        <w:rPr>
          <w:rFonts w:ascii="Arial" w:hAnsi="Arial" w:cs="Arial"/>
          <w:color w:val="auto"/>
        </w:rPr>
        <w:t>w</w:t>
      </w:r>
      <w:r w:rsidR="00826BAB" w:rsidRPr="00F0151C">
        <w:rPr>
          <w:rFonts w:ascii="Arial" w:hAnsi="Arial" w:cs="Arial"/>
          <w:color w:val="auto"/>
        </w:rPr>
        <w:t> </w:t>
      </w:r>
      <w:r w:rsidR="00527341" w:rsidRPr="00F0151C">
        <w:rPr>
          <w:rFonts w:ascii="Arial" w:hAnsi="Arial" w:cs="Arial"/>
          <w:color w:val="auto"/>
        </w:rPr>
        <w:t>księdze inwentarzowej – DT</w:t>
      </w:r>
      <w:r w:rsidR="002847ED">
        <w:rPr>
          <w:rFonts w:ascii="Arial" w:hAnsi="Arial" w:cs="Arial"/>
          <w:color w:val="auto"/>
        </w:rPr>
        <w:t>E</w:t>
      </w:r>
      <w:r w:rsidR="00527341" w:rsidRPr="00F0151C">
        <w:rPr>
          <w:rFonts w:ascii="Arial" w:hAnsi="Arial" w:cs="Arial"/>
          <w:color w:val="auto"/>
        </w:rPr>
        <w:t>,</w:t>
      </w:r>
      <w:r w:rsidR="00826BAB" w:rsidRPr="00F0151C">
        <w:rPr>
          <w:rFonts w:ascii="Arial" w:hAnsi="Arial" w:cs="Arial"/>
          <w:color w:val="auto"/>
        </w:rPr>
        <w:t xml:space="preserve"> </w:t>
      </w:r>
      <w:r w:rsidR="002300C1" w:rsidRPr="00F0151C">
        <w:rPr>
          <w:rFonts w:ascii="Arial" w:hAnsi="Arial" w:cs="Arial"/>
          <w:color w:val="auto"/>
        </w:rPr>
        <w:t>w większości dokonanych wpisów brak daty przychodu i</w:t>
      </w:r>
      <w:r w:rsidR="00826BAB" w:rsidRPr="00F0151C">
        <w:rPr>
          <w:rFonts w:ascii="Arial" w:hAnsi="Arial" w:cs="Arial"/>
          <w:color w:val="auto"/>
        </w:rPr>
        <w:t> </w:t>
      </w:r>
      <w:r w:rsidR="002300C1" w:rsidRPr="00F0151C">
        <w:rPr>
          <w:rFonts w:ascii="Arial" w:hAnsi="Arial" w:cs="Arial"/>
          <w:color w:val="auto"/>
        </w:rPr>
        <w:t>rozchodu</w:t>
      </w:r>
      <w:r w:rsidR="0057370D" w:rsidRPr="00F0151C">
        <w:rPr>
          <w:rFonts w:ascii="Arial" w:hAnsi="Arial" w:cs="Arial"/>
          <w:color w:val="auto"/>
        </w:rPr>
        <w:t xml:space="preserve"> poszczególnych składników majątku.</w:t>
      </w:r>
      <w:r w:rsidR="00C23C6B" w:rsidRPr="00F0151C">
        <w:rPr>
          <w:rFonts w:ascii="Arial" w:hAnsi="Arial" w:cs="Arial"/>
          <w:color w:val="auto"/>
        </w:rPr>
        <w:t xml:space="preserve"> Stwierdzono zgodność wartości składników majątkowych wyszczególnionych w ww. księgach inwentarzowych </w:t>
      </w:r>
      <w:r w:rsidR="001821B9" w:rsidRPr="00F0151C">
        <w:rPr>
          <w:rFonts w:ascii="Arial" w:hAnsi="Arial" w:cs="Arial"/>
          <w:color w:val="auto"/>
        </w:rPr>
        <w:t xml:space="preserve">z </w:t>
      </w:r>
      <w:r w:rsidR="00C23C6B" w:rsidRPr="00F0151C">
        <w:rPr>
          <w:rFonts w:ascii="Arial" w:hAnsi="Arial" w:cs="Arial"/>
          <w:color w:val="auto"/>
        </w:rPr>
        <w:t>zestawieniem wartości inwentarzowej środków trwałych</w:t>
      </w:r>
      <w:r w:rsidR="001821B9" w:rsidRPr="00F0151C">
        <w:rPr>
          <w:rFonts w:ascii="Arial" w:hAnsi="Arial" w:cs="Arial"/>
          <w:color w:val="auto"/>
        </w:rPr>
        <w:t>,</w:t>
      </w:r>
      <w:r w:rsidR="00C23C6B" w:rsidRPr="00F0151C">
        <w:rPr>
          <w:rFonts w:ascii="Arial" w:hAnsi="Arial" w:cs="Arial"/>
          <w:color w:val="auto"/>
        </w:rPr>
        <w:t xml:space="preserve"> tj. wydrukiem z modułu Środki trwałe.</w:t>
      </w:r>
    </w:p>
    <w:p w14:paraId="457BA32C" w14:textId="2EEA16C2" w:rsidR="002834F9" w:rsidRPr="00F0151C" w:rsidRDefault="00956CB5" w:rsidP="002834F9">
      <w:pPr>
        <w:tabs>
          <w:tab w:val="left" w:pos="426"/>
        </w:tabs>
        <w:spacing w:after="0" w:line="360" w:lineRule="auto"/>
        <w:jc w:val="both"/>
        <w:rPr>
          <w:rFonts w:ascii="Arial" w:hAnsi="Arial" w:cs="Arial"/>
          <w:color w:val="auto"/>
        </w:rPr>
      </w:pPr>
      <w:r w:rsidRPr="00F0151C">
        <w:rPr>
          <w:rFonts w:ascii="Arial" w:hAnsi="Arial" w:cs="Arial"/>
          <w:color w:val="auto"/>
        </w:rPr>
        <w:tab/>
        <w:t xml:space="preserve">Zgodnie z </w:t>
      </w:r>
      <w:r w:rsidR="002834F9" w:rsidRPr="00F0151C">
        <w:rPr>
          <w:rFonts w:ascii="Arial" w:hAnsi="Arial" w:cs="Arial"/>
          <w:color w:val="auto"/>
        </w:rPr>
        <w:t>§ 26 ust. 3 pkt 1 ustawy o rachunkowości termin i częstotliwość inwentaryzacji, uważa się za dotrzymane, jeżeli inwentaryzację:</w:t>
      </w:r>
    </w:p>
    <w:p w14:paraId="3031E47F" w14:textId="6FFC9237" w:rsidR="002834F9" w:rsidRPr="00F0151C" w:rsidRDefault="002834F9" w:rsidP="00384BC5">
      <w:pPr>
        <w:pStyle w:val="Akapitzlist"/>
        <w:numPr>
          <w:ilvl w:val="0"/>
          <w:numId w:val="36"/>
        </w:numPr>
        <w:tabs>
          <w:tab w:val="left" w:pos="426"/>
        </w:tabs>
        <w:ind w:left="426" w:hanging="426"/>
        <w:rPr>
          <w:rFonts w:ascii="Arial" w:hAnsi="Arial" w:cs="Arial"/>
          <w:color w:val="auto"/>
          <w:spacing w:val="-4"/>
          <w:sz w:val="22"/>
          <w:szCs w:val="22"/>
          <w:lang w:val="pl-PL"/>
        </w:rPr>
      </w:pPr>
      <w:r w:rsidRPr="00F0151C">
        <w:rPr>
          <w:rFonts w:ascii="Arial" w:hAnsi="Arial" w:cs="Arial"/>
          <w:color w:val="auto"/>
          <w:spacing w:val="-4"/>
          <w:sz w:val="22"/>
          <w:szCs w:val="22"/>
          <w:lang w:val="pl-PL"/>
        </w:rPr>
        <w:t>składników aktywów - z wyłączeniem aktywów pieniężnych, papierów wartościowych, produktów w toku produkcji oraz materiałów, towarów i produktów gotowych, określonych w art. 17 ust. 2 pkt 4 - rozpoczęto nie wcześniej niż 3 miesiące przed końcem roku obrotowego, a zakończono do 15 dnia następnego roku, ustalenie zaś stanu nastąpiło przez dopisanie lub odpisanie od stanu stwierdzonego drogą spisu z</w:t>
      </w:r>
      <w:r w:rsidR="005E1605" w:rsidRPr="00F0151C">
        <w:rPr>
          <w:rFonts w:ascii="Arial" w:hAnsi="Arial" w:cs="Arial"/>
          <w:color w:val="auto"/>
          <w:spacing w:val="-4"/>
          <w:sz w:val="22"/>
          <w:szCs w:val="22"/>
          <w:lang w:val="pl-PL"/>
        </w:rPr>
        <w:t> </w:t>
      </w:r>
      <w:r w:rsidRPr="00F0151C">
        <w:rPr>
          <w:rFonts w:ascii="Arial" w:hAnsi="Arial" w:cs="Arial"/>
          <w:color w:val="auto"/>
          <w:spacing w:val="-4"/>
          <w:sz w:val="22"/>
          <w:szCs w:val="22"/>
          <w:lang w:val="pl-PL"/>
        </w:rPr>
        <w:t>natury lub potwierdzenia salda - przychodów i rozchodów (zwiększeń i zmniejszeń), jakie nastąpiły między datą spisu lub potwierdzenia a dniem ustalenia stanu wynikającego z</w:t>
      </w:r>
      <w:r w:rsidR="005E1605" w:rsidRPr="00F0151C">
        <w:rPr>
          <w:rFonts w:ascii="Arial" w:hAnsi="Arial" w:cs="Arial"/>
          <w:color w:val="auto"/>
          <w:spacing w:val="-4"/>
          <w:sz w:val="22"/>
          <w:szCs w:val="22"/>
          <w:lang w:val="pl-PL"/>
        </w:rPr>
        <w:t> </w:t>
      </w:r>
      <w:r w:rsidRPr="00F0151C">
        <w:rPr>
          <w:rFonts w:ascii="Arial" w:hAnsi="Arial" w:cs="Arial"/>
          <w:color w:val="auto"/>
          <w:spacing w:val="-4"/>
          <w:sz w:val="22"/>
          <w:szCs w:val="22"/>
          <w:lang w:val="pl-PL"/>
        </w:rPr>
        <w:t>ksiąg rachunkowych, przy czym stan wynikający z ksiąg rachunkowych nie może być ustalony po dniu bilansowym oraz</w:t>
      </w:r>
    </w:p>
    <w:p w14:paraId="1AA8B464" w14:textId="774DE593" w:rsidR="002834F9" w:rsidRPr="00F0151C" w:rsidRDefault="002834F9" w:rsidP="00384BC5">
      <w:pPr>
        <w:pStyle w:val="Akapitzlist"/>
        <w:numPr>
          <w:ilvl w:val="0"/>
          <w:numId w:val="35"/>
        </w:numPr>
        <w:tabs>
          <w:tab w:val="left" w:pos="426"/>
        </w:tabs>
        <w:ind w:left="426" w:hanging="426"/>
        <w:rPr>
          <w:rFonts w:ascii="Arial" w:hAnsi="Arial" w:cs="Arial"/>
          <w:color w:val="auto"/>
          <w:sz w:val="22"/>
          <w:szCs w:val="22"/>
          <w:lang w:val="pl-PL"/>
        </w:rPr>
      </w:pPr>
      <w:r w:rsidRPr="00F0151C">
        <w:rPr>
          <w:rFonts w:ascii="Arial" w:hAnsi="Arial" w:cs="Arial"/>
          <w:color w:val="auto"/>
          <w:sz w:val="22"/>
          <w:szCs w:val="22"/>
          <w:lang w:val="pl-PL"/>
        </w:rPr>
        <w:lastRenderedPageBreak/>
        <w:t>nieruchomości zaliczonych do środków trwałych oraz inwestycji, jak też znajdujących się na terenie strzeżonym innych środków trwałych oraz maszyn i urządzeń wchodzących w skład środków trwałych w budowie - przeprowadzono raz w ciągu 4 lat</w:t>
      </w:r>
      <w:r w:rsidR="00D76FFD" w:rsidRPr="00F0151C">
        <w:rPr>
          <w:rFonts w:ascii="Arial" w:hAnsi="Arial" w:cs="Arial"/>
          <w:color w:val="auto"/>
          <w:sz w:val="22"/>
          <w:szCs w:val="22"/>
          <w:lang w:val="pl-PL"/>
        </w:rPr>
        <w:t>.</w:t>
      </w:r>
    </w:p>
    <w:p w14:paraId="646BC334" w14:textId="731FA509" w:rsidR="00D64481" w:rsidRPr="00F0151C" w:rsidRDefault="00D76FFD" w:rsidP="00D76FFD">
      <w:pPr>
        <w:pStyle w:val="Akapitzlist"/>
        <w:tabs>
          <w:tab w:val="left" w:pos="426"/>
        </w:tabs>
        <w:ind w:left="0"/>
        <w:rPr>
          <w:rFonts w:ascii="Arial" w:hAnsi="Arial" w:cs="Arial"/>
          <w:color w:val="auto"/>
          <w:sz w:val="22"/>
          <w:szCs w:val="22"/>
          <w:lang w:val="pl-PL"/>
        </w:rPr>
      </w:pPr>
      <w:r w:rsidRPr="00F0151C">
        <w:rPr>
          <w:rFonts w:ascii="Arial" w:hAnsi="Arial" w:cs="Arial"/>
          <w:color w:val="auto"/>
          <w:sz w:val="22"/>
          <w:szCs w:val="22"/>
          <w:lang w:val="pl-PL"/>
        </w:rPr>
        <w:tab/>
        <w:t xml:space="preserve">W zakładzie ostatnia inwentaryzacja okresowa została przeprowadzona na dzień 31.12.2021 r. </w:t>
      </w:r>
      <w:r w:rsidR="00B02FD8" w:rsidRPr="00F0151C">
        <w:rPr>
          <w:rFonts w:ascii="Arial" w:hAnsi="Arial" w:cs="Arial"/>
          <w:color w:val="auto"/>
          <w:sz w:val="22"/>
          <w:szCs w:val="22"/>
          <w:lang w:val="pl-PL"/>
        </w:rPr>
        <w:t>Z</w:t>
      </w:r>
      <w:r w:rsidR="00956CB5" w:rsidRPr="00F0151C">
        <w:rPr>
          <w:rFonts w:ascii="Arial" w:hAnsi="Arial" w:cs="Arial"/>
          <w:color w:val="auto"/>
          <w:sz w:val="22"/>
          <w:szCs w:val="22"/>
          <w:lang w:val="pl-PL"/>
        </w:rPr>
        <w:t xml:space="preserve">arządzeniem nr 0152/314/12/2022 z dnia 6.12.2022 r. Dyrektor zarządził </w:t>
      </w:r>
      <w:r w:rsidRPr="00F0151C">
        <w:rPr>
          <w:rFonts w:ascii="Arial" w:hAnsi="Arial" w:cs="Arial"/>
          <w:color w:val="auto"/>
          <w:sz w:val="22"/>
          <w:szCs w:val="22"/>
          <w:lang w:val="pl-PL"/>
        </w:rPr>
        <w:t>przeprowadzenie inwentaryzacj</w:t>
      </w:r>
      <w:r w:rsidR="005B4616" w:rsidRPr="00F0151C">
        <w:rPr>
          <w:rFonts w:ascii="Arial" w:hAnsi="Arial" w:cs="Arial"/>
          <w:color w:val="auto"/>
          <w:sz w:val="22"/>
          <w:szCs w:val="22"/>
          <w:lang w:val="pl-PL"/>
        </w:rPr>
        <w:t>i</w:t>
      </w:r>
      <w:r w:rsidRPr="00F0151C">
        <w:rPr>
          <w:rFonts w:ascii="Arial" w:hAnsi="Arial" w:cs="Arial"/>
          <w:color w:val="auto"/>
          <w:sz w:val="22"/>
          <w:szCs w:val="22"/>
          <w:lang w:val="pl-PL"/>
        </w:rPr>
        <w:t xml:space="preserve"> rocznej na dzień 31.12.2022 r. tj. inwentaryzację:</w:t>
      </w:r>
    </w:p>
    <w:p w14:paraId="3DE67ABF" w14:textId="4BB0DCF9" w:rsidR="00D76FFD" w:rsidRPr="00F0151C" w:rsidRDefault="00D76FFD" w:rsidP="00384BC5">
      <w:pPr>
        <w:pStyle w:val="Akapitzlist"/>
        <w:numPr>
          <w:ilvl w:val="0"/>
          <w:numId w:val="37"/>
        </w:numPr>
        <w:tabs>
          <w:tab w:val="left" w:pos="426"/>
        </w:tabs>
        <w:ind w:left="426" w:hanging="426"/>
        <w:rPr>
          <w:rFonts w:ascii="Arial" w:hAnsi="Arial" w:cs="Arial"/>
          <w:color w:val="auto"/>
          <w:sz w:val="22"/>
          <w:szCs w:val="22"/>
          <w:lang w:val="pl-PL"/>
        </w:rPr>
      </w:pPr>
      <w:r w:rsidRPr="00F0151C">
        <w:rPr>
          <w:rFonts w:ascii="Arial" w:hAnsi="Arial" w:cs="Arial"/>
          <w:color w:val="auto"/>
          <w:sz w:val="22"/>
          <w:szCs w:val="22"/>
          <w:lang w:val="pl-PL"/>
        </w:rPr>
        <w:t xml:space="preserve">druków ścisłego zarachowania wg stanu na 31.12.2022 r. </w:t>
      </w:r>
      <w:r w:rsidR="00D479FF" w:rsidRPr="00F0151C">
        <w:rPr>
          <w:rFonts w:ascii="Arial" w:hAnsi="Arial" w:cs="Arial"/>
          <w:color w:val="auto"/>
          <w:sz w:val="22"/>
          <w:szCs w:val="22"/>
          <w:lang w:val="pl-PL"/>
        </w:rPr>
        <w:t>Inwentaryzację należy przeprowadzić w dniu 30.12.2022 r.</w:t>
      </w:r>
    </w:p>
    <w:p w14:paraId="12A97C36" w14:textId="19C1E884" w:rsidR="00D76FFD" w:rsidRPr="00F0151C" w:rsidRDefault="00D76FFD" w:rsidP="00384BC5">
      <w:pPr>
        <w:pStyle w:val="Akapitzlist"/>
        <w:numPr>
          <w:ilvl w:val="0"/>
          <w:numId w:val="37"/>
        </w:numPr>
        <w:tabs>
          <w:tab w:val="left" w:pos="426"/>
        </w:tabs>
        <w:ind w:left="426" w:hanging="426"/>
        <w:rPr>
          <w:rFonts w:ascii="Arial" w:hAnsi="Arial" w:cs="Arial"/>
          <w:color w:val="auto"/>
          <w:sz w:val="22"/>
          <w:szCs w:val="22"/>
          <w:lang w:val="pl-PL"/>
        </w:rPr>
      </w:pPr>
      <w:r w:rsidRPr="00F0151C">
        <w:rPr>
          <w:rFonts w:ascii="Arial" w:hAnsi="Arial" w:cs="Arial"/>
          <w:color w:val="auto"/>
          <w:sz w:val="22"/>
          <w:szCs w:val="22"/>
          <w:lang w:val="pl-PL"/>
        </w:rPr>
        <w:t>wartości pieniężnych w kasie głównej, znaczków pocztowych, materiałów pędnych oraz gwarancji i zabezpieczeń wykonania umów w formie papierów wartościowych wg stanu na dzień 31.12.2022 r.</w:t>
      </w:r>
      <w:r w:rsidR="00D479FF" w:rsidRPr="00F0151C">
        <w:rPr>
          <w:rFonts w:ascii="Arial" w:hAnsi="Arial" w:cs="Arial"/>
          <w:color w:val="auto"/>
          <w:sz w:val="22"/>
          <w:szCs w:val="22"/>
          <w:lang w:val="pl-PL"/>
        </w:rPr>
        <w:t xml:space="preserve"> Inwentaryzację należy przeprowadzić w dniu 30.12.2022 r.</w:t>
      </w:r>
    </w:p>
    <w:p w14:paraId="5610DA40" w14:textId="39CA267C" w:rsidR="00D76FFD" w:rsidRPr="00F0151C" w:rsidRDefault="00D479FF" w:rsidP="00384BC5">
      <w:pPr>
        <w:pStyle w:val="Akapitzlist"/>
        <w:numPr>
          <w:ilvl w:val="0"/>
          <w:numId w:val="37"/>
        </w:numPr>
        <w:tabs>
          <w:tab w:val="left" w:pos="426"/>
        </w:tabs>
        <w:ind w:left="426" w:hanging="426"/>
        <w:rPr>
          <w:rFonts w:ascii="Arial" w:hAnsi="Arial" w:cs="Arial"/>
          <w:color w:val="auto"/>
          <w:sz w:val="22"/>
          <w:szCs w:val="22"/>
          <w:lang w:val="pl-PL"/>
        </w:rPr>
      </w:pPr>
      <w:r w:rsidRPr="00F0151C">
        <w:rPr>
          <w:rFonts w:ascii="Arial" w:hAnsi="Arial" w:cs="Arial"/>
          <w:color w:val="auto"/>
          <w:sz w:val="22"/>
          <w:szCs w:val="22"/>
          <w:lang w:val="pl-PL"/>
        </w:rPr>
        <w:t>według stanu na dzień 31.12.2022 r. uzyskanych od kontrahentów pisemnych potwierdzeń sald należności ze stanem na dzień 31 października 2022 r. Inwentaryzację należy przeprowadzić metodą weryfikacji w terminie od 2 do 12 stycznia 2023 r.</w:t>
      </w:r>
    </w:p>
    <w:p w14:paraId="01ADB622" w14:textId="245AE8DC" w:rsidR="00D479FF" w:rsidRPr="00F0151C" w:rsidRDefault="00D479FF" w:rsidP="00384BC5">
      <w:pPr>
        <w:pStyle w:val="Akapitzlist"/>
        <w:numPr>
          <w:ilvl w:val="0"/>
          <w:numId w:val="37"/>
        </w:numPr>
        <w:tabs>
          <w:tab w:val="left" w:pos="426"/>
        </w:tabs>
        <w:ind w:left="426" w:hanging="426"/>
        <w:rPr>
          <w:rFonts w:ascii="Arial" w:hAnsi="Arial" w:cs="Arial"/>
          <w:color w:val="auto"/>
          <w:sz w:val="22"/>
          <w:szCs w:val="22"/>
          <w:lang w:val="pl-PL"/>
        </w:rPr>
      </w:pPr>
      <w:r w:rsidRPr="00F0151C">
        <w:rPr>
          <w:rFonts w:ascii="Arial" w:hAnsi="Arial" w:cs="Arial"/>
          <w:color w:val="auto"/>
          <w:sz w:val="22"/>
          <w:szCs w:val="22"/>
          <w:lang w:val="pl-PL"/>
        </w:rPr>
        <w:t>pozostałych aktywów i pasywów na dzień 31.12.2022 r. w drodze uzgodnienia sald</w:t>
      </w:r>
      <w:r w:rsidR="00261898" w:rsidRPr="00F0151C">
        <w:rPr>
          <w:rFonts w:ascii="Arial" w:hAnsi="Arial" w:cs="Arial"/>
          <w:color w:val="auto"/>
          <w:sz w:val="22"/>
          <w:szCs w:val="22"/>
          <w:lang w:val="pl-PL"/>
        </w:rPr>
        <w:t>.</w:t>
      </w:r>
    </w:p>
    <w:p w14:paraId="4EE67BAE" w14:textId="592873DA" w:rsidR="006B007D" w:rsidRPr="00F0151C" w:rsidRDefault="00D479FF" w:rsidP="00410047">
      <w:pPr>
        <w:pStyle w:val="Standard"/>
        <w:widowControl w:val="0"/>
        <w:tabs>
          <w:tab w:val="left" w:pos="-2410"/>
          <w:tab w:val="left" w:pos="426"/>
        </w:tabs>
        <w:overflowPunct/>
        <w:spacing w:after="0" w:line="360" w:lineRule="auto"/>
        <w:jc w:val="both"/>
        <w:rPr>
          <w:rFonts w:ascii="Arial" w:eastAsia="Times New Roman" w:hAnsi="Arial" w:cs="Arial"/>
          <w:color w:val="auto"/>
          <w:spacing w:val="-2"/>
        </w:rPr>
      </w:pPr>
      <w:r w:rsidRPr="00F0151C">
        <w:rPr>
          <w:rFonts w:ascii="Arial" w:hAnsi="Arial" w:cs="Arial"/>
          <w:color w:val="auto"/>
          <w:spacing w:val="-2"/>
        </w:rPr>
        <w:t xml:space="preserve">Do kontroli przedłożono Sprawozdanie - Protokół Komisji Inwentaryzacyjnej </w:t>
      </w:r>
      <w:r w:rsidR="004056F6" w:rsidRPr="00F0151C">
        <w:rPr>
          <w:rFonts w:ascii="Arial" w:hAnsi="Arial" w:cs="Arial"/>
          <w:color w:val="auto"/>
          <w:spacing w:val="-2"/>
        </w:rPr>
        <w:t xml:space="preserve">z 3.02.2023 r. wraz z załącznikami. W dokumentacji znajdował się protokół rozliczenia pobranych arkuszy spisowych o numerach 00024 i 00025. Na jednym dokonano spisu i wyceny znaczków pocztowych, których wartość uzgodniono z zestawieniem obrotów i sald konta 234-001 </w:t>
      </w:r>
      <w:r w:rsidR="004056F6" w:rsidRPr="00F0151C">
        <w:rPr>
          <w:rFonts w:ascii="Arial" w:hAnsi="Arial" w:cs="Arial"/>
          <w:i/>
          <w:iCs/>
          <w:color w:val="auto"/>
          <w:spacing w:val="-2"/>
        </w:rPr>
        <w:t>Znaczki pocztowe</w:t>
      </w:r>
      <w:r w:rsidR="004056F6" w:rsidRPr="00F0151C">
        <w:rPr>
          <w:rFonts w:ascii="Arial" w:hAnsi="Arial" w:cs="Arial"/>
          <w:color w:val="auto"/>
          <w:spacing w:val="-2"/>
        </w:rPr>
        <w:t xml:space="preserve">. Na drugim arkuszu spisu z natury dokonano spisu paliwa znajdującego się w baku samochodu w ilości 40 litrów. Na arkuszu nie dokonano wyceny spisanego paliwa, natomiast dołączono pismo zawierające wycenę paliwa opartą o faktury zakupu paliwa z 19.12.2023 r. oraz 29.12.2023 r. </w:t>
      </w:r>
      <w:r w:rsidR="006B007D" w:rsidRPr="00F0151C">
        <w:rPr>
          <w:rFonts w:ascii="Arial" w:hAnsi="Arial" w:cs="Arial"/>
          <w:color w:val="auto"/>
          <w:spacing w:val="-2"/>
        </w:rPr>
        <w:t>Zauważa się, że po przeprowadzeniu inwentaryzacji w drodze spisu z</w:t>
      </w:r>
      <w:r w:rsidR="000547F7" w:rsidRPr="00F0151C">
        <w:rPr>
          <w:rFonts w:ascii="Arial" w:hAnsi="Arial" w:cs="Arial"/>
          <w:color w:val="auto"/>
          <w:spacing w:val="-2"/>
        </w:rPr>
        <w:t> </w:t>
      </w:r>
      <w:r w:rsidR="006B007D" w:rsidRPr="00F0151C">
        <w:rPr>
          <w:rFonts w:ascii="Arial" w:hAnsi="Arial" w:cs="Arial"/>
          <w:color w:val="auto"/>
          <w:spacing w:val="-2"/>
        </w:rPr>
        <w:t xml:space="preserve">natury, nie dokonano odpowiednich księgowań na koncie 310 </w:t>
      </w:r>
      <w:r w:rsidR="006B007D" w:rsidRPr="00F0151C">
        <w:rPr>
          <w:rFonts w:ascii="Arial" w:hAnsi="Arial" w:cs="Arial"/>
          <w:i/>
          <w:iCs/>
          <w:color w:val="auto"/>
          <w:spacing w:val="-2"/>
        </w:rPr>
        <w:t xml:space="preserve">Materiały, </w:t>
      </w:r>
      <w:r w:rsidR="006B007D" w:rsidRPr="00F0151C">
        <w:rPr>
          <w:rFonts w:ascii="Arial" w:hAnsi="Arial" w:cs="Arial"/>
          <w:color w:val="auto"/>
          <w:spacing w:val="-2"/>
        </w:rPr>
        <w:t>tj. niezgodnie z</w:t>
      </w:r>
      <w:r w:rsidR="000547F7" w:rsidRPr="00F0151C">
        <w:rPr>
          <w:rFonts w:ascii="Arial" w:hAnsi="Arial" w:cs="Arial"/>
          <w:color w:val="auto"/>
          <w:spacing w:val="-2"/>
        </w:rPr>
        <w:t> </w:t>
      </w:r>
      <w:r w:rsidR="006B007D" w:rsidRPr="00F0151C">
        <w:rPr>
          <w:rFonts w:ascii="Arial" w:hAnsi="Arial" w:cs="Arial"/>
          <w:color w:val="auto"/>
          <w:spacing w:val="-2"/>
        </w:rPr>
        <w:t>zapisami polityki rachunkowości, co zostało opisane już w protokole.</w:t>
      </w:r>
      <w:r w:rsidR="00665093" w:rsidRPr="00F0151C">
        <w:rPr>
          <w:rFonts w:ascii="Arial" w:hAnsi="Arial" w:cs="Arial"/>
          <w:color w:val="auto"/>
          <w:spacing w:val="-2"/>
        </w:rPr>
        <w:t xml:space="preserve"> </w:t>
      </w:r>
      <w:r w:rsidR="005F132B" w:rsidRPr="00F0151C">
        <w:rPr>
          <w:rFonts w:ascii="Arial" w:eastAsia="Times New Roman" w:hAnsi="Arial" w:cs="Arial"/>
          <w:color w:val="auto"/>
          <w:spacing w:val="-2"/>
        </w:rPr>
        <w:t xml:space="preserve">Ponadto, w zakładzie zakup opału ujmuje się bezpośrednio w koszty. Zauważa się brak przeprowadzenia inwentaryzacji w tym zakresie, zmniejszenia kosztów oraz ujęcia na koncie 310 pozostałego na dzień bilansowy zapasu węgla. </w:t>
      </w:r>
    </w:p>
    <w:p w14:paraId="29F1BA01" w14:textId="49123D46" w:rsidR="006B007D" w:rsidRPr="00F0151C" w:rsidRDefault="006B007D" w:rsidP="006B007D">
      <w:pPr>
        <w:overflowPunct/>
        <w:spacing w:after="0" w:line="360" w:lineRule="auto"/>
        <w:ind w:firstLine="426"/>
        <w:jc w:val="both"/>
        <w:rPr>
          <w:rFonts w:ascii="Arial" w:hAnsi="Arial" w:cs="Arial"/>
          <w:color w:val="auto"/>
          <w:spacing w:val="-2"/>
        </w:rPr>
      </w:pPr>
      <w:r w:rsidRPr="00F0151C">
        <w:rPr>
          <w:rFonts w:ascii="Arial" w:hAnsi="Arial" w:cs="Arial"/>
          <w:color w:val="auto"/>
          <w:spacing w:val="-2"/>
        </w:rPr>
        <w:t>W zakresie przeprowadzenia inwentaryzacji druków ścisłego zarachowania i kasy zakładowej i przedłożonych w tym zakresie protokołów nie stwierdzono nieprawidłowości.</w:t>
      </w:r>
    </w:p>
    <w:p w14:paraId="52A83F7E" w14:textId="75D8C4D2" w:rsidR="00261898" w:rsidRPr="004F74DE" w:rsidRDefault="006B007D" w:rsidP="0083782A">
      <w:pPr>
        <w:overflowPunct/>
        <w:spacing w:after="0" w:line="360" w:lineRule="auto"/>
        <w:ind w:firstLine="426"/>
        <w:jc w:val="both"/>
        <w:rPr>
          <w:rFonts w:ascii="Arial" w:hAnsi="Arial" w:cs="Arial"/>
          <w:color w:val="auto"/>
          <w:spacing w:val="-4"/>
        </w:rPr>
      </w:pPr>
      <w:r w:rsidRPr="004F74DE">
        <w:rPr>
          <w:rFonts w:ascii="Arial" w:hAnsi="Arial" w:cs="Arial"/>
          <w:color w:val="auto"/>
          <w:spacing w:val="-4"/>
        </w:rPr>
        <w:t xml:space="preserve">Wyrywkowej weryfikacji </w:t>
      </w:r>
      <w:r w:rsidR="00DE0BC5" w:rsidRPr="004F74DE">
        <w:rPr>
          <w:rFonts w:ascii="Arial" w:hAnsi="Arial" w:cs="Arial"/>
          <w:color w:val="auto"/>
          <w:spacing w:val="-4"/>
        </w:rPr>
        <w:t>poddano wypełnienie przez MZBM obowiązków w zakresie inwentaryzacji wynikających z art. 26 ust. 1 pkt 2 uor tj. w drodze potwierdzenia sald. Zgodnie z</w:t>
      </w:r>
      <w:r w:rsidR="004F74DE">
        <w:rPr>
          <w:rFonts w:ascii="Arial" w:hAnsi="Arial" w:cs="Arial"/>
          <w:color w:val="auto"/>
          <w:spacing w:val="-4"/>
        </w:rPr>
        <w:t> </w:t>
      </w:r>
      <w:r w:rsidR="00DE0BC5" w:rsidRPr="004F74DE">
        <w:rPr>
          <w:rFonts w:ascii="Arial" w:hAnsi="Arial" w:cs="Arial"/>
          <w:color w:val="auto"/>
          <w:spacing w:val="-4"/>
        </w:rPr>
        <w:t xml:space="preserve">instrukcją dotyczącą zasad przeprowadzania inwentaryzacji w MZBM w Tychach za pomocą potwierdzenia stanów przez kontrahentów inwentaryzuje się: aktywa finansowe </w:t>
      </w:r>
      <w:r w:rsidR="00FA2813" w:rsidRPr="004F74DE">
        <w:rPr>
          <w:rFonts w:ascii="Arial" w:hAnsi="Arial" w:cs="Arial"/>
          <w:color w:val="auto"/>
          <w:spacing w:val="-4"/>
        </w:rPr>
        <w:t xml:space="preserve">zgromadzone </w:t>
      </w:r>
      <w:r w:rsidR="00DE0BC5" w:rsidRPr="004F74DE">
        <w:rPr>
          <w:rFonts w:ascii="Arial" w:hAnsi="Arial" w:cs="Arial"/>
          <w:color w:val="auto"/>
          <w:spacing w:val="-4"/>
        </w:rPr>
        <w:t>na rachunkach bankowych</w:t>
      </w:r>
      <w:r w:rsidR="00AB4684" w:rsidRPr="004F74DE">
        <w:rPr>
          <w:rFonts w:ascii="Arial" w:hAnsi="Arial" w:cs="Arial"/>
          <w:color w:val="auto"/>
          <w:spacing w:val="-4"/>
        </w:rPr>
        <w:t>;</w:t>
      </w:r>
      <w:r w:rsidR="00FA2813" w:rsidRPr="004F74DE">
        <w:rPr>
          <w:rFonts w:ascii="Arial" w:hAnsi="Arial" w:cs="Arial"/>
          <w:color w:val="auto"/>
          <w:spacing w:val="-4"/>
        </w:rPr>
        <w:t xml:space="preserve"> papiery wartościowe w formie zdematerializowanej</w:t>
      </w:r>
      <w:r w:rsidR="00AB4684" w:rsidRPr="004F74DE">
        <w:rPr>
          <w:rFonts w:ascii="Arial" w:hAnsi="Arial" w:cs="Arial"/>
          <w:color w:val="auto"/>
          <w:spacing w:val="-4"/>
        </w:rPr>
        <w:t>;</w:t>
      </w:r>
      <w:r w:rsidR="00FA2813" w:rsidRPr="004F74DE">
        <w:rPr>
          <w:rFonts w:ascii="Arial" w:hAnsi="Arial" w:cs="Arial"/>
          <w:color w:val="auto"/>
          <w:spacing w:val="-4"/>
        </w:rPr>
        <w:t xml:space="preserve"> należności z</w:t>
      </w:r>
      <w:r w:rsidR="0054203F" w:rsidRPr="004F74DE">
        <w:rPr>
          <w:rFonts w:ascii="Arial" w:hAnsi="Arial" w:cs="Arial"/>
          <w:color w:val="auto"/>
          <w:spacing w:val="-4"/>
        </w:rPr>
        <w:t> </w:t>
      </w:r>
      <w:r w:rsidR="00FA2813" w:rsidRPr="004F74DE">
        <w:rPr>
          <w:rFonts w:ascii="Arial" w:hAnsi="Arial" w:cs="Arial"/>
          <w:color w:val="auto"/>
          <w:spacing w:val="-4"/>
        </w:rPr>
        <w:t xml:space="preserve">wyjątkiem należności: spornych i wątpliwych, od osób nieprowadzących </w:t>
      </w:r>
      <w:r w:rsidR="00AB4684" w:rsidRPr="004F74DE">
        <w:rPr>
          <w:rFonts w:ascii="Arial" w:hAnsi="Arial" w:cs="Arial"/>
          <w:color w:val="auto"/>
          <w:spacing w:val="-4"/>
        </w:rPr>
        <w:t xml:space="preserve">ksiąg rachunkowych, </w:t>
      </w:r>
      <w:r w:rsidR="00AB4684" w:rsidRPr="004F74DE">
        <w:rPr>
          <w:rFonts w:ascii="Arial" w:hAnsi="Arial" w:cs="Arial"/>
          <w:color w:val="auto"/>
          <w:spacing w:val="-4"/>
        </w:rPr>
        <w:lastRenderedPageBreak/>
        <w:t>z tytułów publicznoprawnych</w:t>
      </w:r>
      <w:r w:rsidR="005B4616" w:rsidRPr="004F74DE">
        <w:rPr>
          <w:rFonts w:ascii="Arial" w:hAnsi="Arial" w:cs="Arial"/>
          <w:color w:val="auto"/>
          <w:spacing w:val="-4"/>
        </w:rPr>
        <w:t>,</w:t>
      </w:r>
      <w:r w:rsidR="00AB4684" w:rsidRPr="004F74DE">
        <w:rPr>
          <w:rFonts w:ascii="Arial" w:hAnsi="Arial" w:cs="Arial"/>
          <w:color w:val="auto"/>
          <w:spacing w:val="-4"/>
        </w:rPr>
        <w:t xml:space="preserve"> należności z tytułu udzielonych pożyczek.</w:t>
      </w:r>
      <w:r w:rsidRPr="004F74DE">
        <w:rPr>
          <w:rFonts w:ascii="Arial" w:hAnsi="Arial" w:cs="Arial"/>
          <w:color w:val="auto"/>
          <w:spacing w:val="-4"/>
        </w:rPr>
        <w:t xml:space="preserve"> </w:t>
      </w:r>
      <w:r w:rsidR="00DE0BC5" w:rsidRPr="004F74DE">
        <w:rPr>
          <w:rFonts w:ascii="Arial" w:hAnsi="Arial" w:cs="Arial"/>
          <w:color w:val="auto"/>
          <w:spacing w:val="-4"/>
        </w:rPr>
        <w:t xml:space="preserve">Do </w:t>
      </w:r>
      <w:r w:rsidR="0054203F" w:rsidRPr="004F74DE">
        <w:rPr>
          <w:rFonts w:ascii="Arial" w:hAnsi="Arial" w:cs="Arial"/>
          <w:color w:val="auto"/>
          <w:spacing w:val="-4"/>
        </w:rPr>
        <w:t> k</w:t>
      </w:r>
      <w:r w:rsidR="00DE0BC5" w:rsidRPr="004F74DE">
        <w:rPr>
          <w:rFonts w:ascii="Arial" w:hAnsi="Arial" w:cs="Arial"/>
          <w:color w:val="auto"/>
          <w:spacing w:val="-4"/>
        </w:rPr>
        <w:t>ontroli przedłożono obszerną dokumentację wysłaną do kontrahentów w celu potwierdzenia</w:t>
      </w:r>
      <w:r w:rsidRPr="004F74DE">
        <w:rPr>
          <w:rFonts w:ascii="Arial" w:hAnsi="Arial" w:cs="Arial"/>
          <w:color w:val="auto"/>
          <w:spacing w:val="-4"/>
        </w:rPr>
        <w:t xml:space="preserve"> sald na 31.10.2022 r</w:t>
      </w:r>
      <w:r w:rsidR="00DE0BC5" w:rsidRPr="004F74DE">
        <w:rPr>
          <w:rFonts w:ascii="Arial" w:hAnsi="Arial" w:cs="Arial"/>
          <w:color w:val="auto"/>
          <w:spacing w:val="-4"/>
        </w:rPr>
        <w:t xml:space="preserve">. </w:t>
      </w:r>
      <w:r w:rsidR="00B8657C" w:rsidRPr="004F74DE">
        <w:rPr>
          <w:rFonts w:ascii="Arial" w:hAnsi="Arial" w:cs="Arial"/>
          <w:color w:val="auto"/>
          <w:spacing w:val="-4"/>
        </w:rPr>
        <w:t>W</w:t>
      </w:r>
      <w:r w:rsidR="004F74DE">
        <w:rPr>
          <w:rFonts w:ascii="Arial" w:hAnsi="Arial" w:cs="Arial"/>
          <w:color w:val="auto"/>
          <w:spacing w:val="-4"/>
        </w:rPr>
        <w:t> </w:t>
      </w:r>
      <w:r w:rsidR="00B8657C" w:rsidRPr="004F74DE">
        <w:rPr>
          <w:rFonts w:ascii="Arial" w:hAnsi="Arial" w:cs="Arial"/>
          <w:color w:val="auto"/>
          <w:spacing w:val="-4"/>
        </w:rPr>
        <w:t>związku z</w:t>
      </w:r>
      <w:r w:rsidRPr="004F74DE">
        <w:rPr>
          <w:rFonts w:ascii="Arial" w:hAnsi="Arial" w:cs="Arial"/>
          <w:color w:val="auto"/>
          <w:spacing w:val="-4"/>
        </w:rPr>
        <w:t xml:space="preserve"> brakiem </w:t>
      </w:r>
      <w:r w:rsidR="00B8657C" w:rsidRPr="004F74DE">
        <w:rPr>
          <w:rFonts w:ascii="Arial" w:hAnsi="Arial" w:cs="Arial"/>
          <w:color w:val="auto"/>
          <w:spacing w:val="-4"/>
        </w:rPr>
        <w:t>ewidencji w księgach rachunkowych roszczeń spornych</w:t>
      </w:r>
      <w:r w:rsidRPr="004F74DE">
        <w:rPr>
          <w:rFonts w:ascii="Arial" w:hAnsi="Arial" w:cs="Arial"/>
          <w:color w:val="auto"/>
          <w:spacing w:val="-4"/>
        </w:rPr>
        <w:t xml:space="preserve"> i wątpliwych</w:t>
      </w:r>
      <w:r w:rsidR="00B8657C" w:rsidRPr="004F74DE">
        <w:rPr>
          <w:rFonts w:ascii="Arial" w:hAnsi="Arial" w:cs="Arial"/>
          <w:color w:val="auto"/>
          <w:spacing w:val="-4"/>
        </w:rPr>
        <w:t>, tj.</w:t>
      </w:r>
      <w:r w:rsidR="004F74DE">
        <w:rPr>
          <w:rFonts w:ascii="Arial" w:hAnsi="Arial" w:cs="Arial"/>
          <w:color w:val="auto"/>
          <w:spacing w:val="-4"/>
        </w:rPr>
        <w:t> </w:t>
      </w:r>
      <w:r w:rsidR="00B8657C" w:rsidRPr="004F74DE">
        <w:rPr>
          <w:rFonts w:ascii="Arial" w:hAnsi="Arial" w:cs="Arial"/>
          <w:b/>
          <w:bCs/>
          <w:color w:val="auto"/>
          <w:spacing w:val="-4"/>
        </w:rPr>
        <w:t xml:space="preserve">przeniesienia należności, w momencie skierowania roszczenia na drogę postępowania sądowego na konto 240  </w:t>
      </w:r>
      <w:r w:rsidR="00B8657C" w:rsidRPr="004F74DE">
        <w:rPr>
          <w:rFonts w:ascii="Arial" w:hAnsi="Arial" w:cs="Arial"/>
          <w:b/>
          <w:bCs/>
          <w:i/>
          <w:iCs/>
          <w:color w:val="auto"/>
          <w:spacing w:val="-4"/>
        </w:rPr>
        <w:t>Pozostałe rozrachunki</w:t>
      </w:r>
      <w:r w:rsidR="00B8657C" w:rsidRPr="004F74DE">
        <w:rPr>
          <w:rFonts w:ascii="Arial" w:hAnsi="Arial" w:cs="Arial"/>
          <w:b/>
          <w:bCs/>
          <w:color w:val="auto"/>
          <w:spacing w:val="-4"/>
        </w:rPr>
        <w:t xml:space="preserve">, </w:t>
      </w:r>
      <w:r w:rsidRPr="004F74DE">
        <w:rPr>
          <w:rFonts w:ascii="Arial" w:hAnsi="Arial" w:cs="Arial"/>
          <w:b/>
          <w:bCs/>
          <w:color w:val="auto"/>
          <w:spacing w:val="-4"/>
        </w:rPr>
        <w:t>kontrolujące nie miały</w:t>
      </w:r>
      <w:r w:rsidR="00B8657C" w:rsidRPr="004F74DE">
        <w:rPr>
          <w:rFonts w:ascii="Arial" w:hAnsi="Arial" w:cs="Arial"/>
          <w:b/>
          <w:bCs/>
          <w:color w:val="auto"/>
          <w:spacing w:val="-4"/>
        </w:rPr>
        <w:t xml:space="preserve"> możliwości weryfikacji </w:t>
      </w:r>
      <w:r w:rsidR="00AE6293" w:rsidRPr="004F74DE">
        <w:rPr>
          <w:rFonts w:ascii="Arial" w:hAnsi="Arial" w:cs="Arial"/>
          <w:b/>
          <w:bCs/>
          <w:color w:val="auto"/>
          <w:spacing w:val="-4"/>
        </w:rPr>
        <w:t xml:space="preserve">czy </w:t>
      </w:r>
      <w:r w:rsidRPr="004F74DE">
        <w:rPr>
          <w:rFonts w:ascii="Arial" w:hAnsi="Arial" w:cs="Arial"/>
          <w:b/>
          <w:bCs/>
          <w:color w:val="auto"/>
          <w:spacing w:val="-4"/>
        </w:rPr>
        <w:t>potwierdzenia sald zostały wysłane do  wszystkich kontrahentów</w:t>
      </w:r>
      <w:r w:rsidR="005B4616" w:rsidRPr="004F74DE">
        <w:rPr>
          <w:rFonts w:ascii="Arial" w:hAnsi="Arial" w:cs="Arial"/>
          <w:b/>
          <w:bCs/>
          <w:color w:val="auto"/>
          <w:spacing w:val="-4"/>
        </w:rPr>
        <w:t xml:space="preserve">, </w:t>
      </w:r>
      <w:r w:rsidRPr="004F74DE">
        <w:rPr>
          <w:rFonts w:ascii="Arial" w:hAnsi="Arial" w:cs="Arial"/>
          <w:b/>
          <w:bCs/>
          <w:color w:val="auto"/>
          <w:spacing w:val="-4"/>
        </w:rPr>
        <w:t>z</w:t>
      </w:r>
      <w:r w:rsidR="004F74DE">
        <w:rPr>
          <w:rFonts w:ascii="Arial" w:hAnsi="Arial" w:cs="Arial"/>
          <w:b/>
          <w:bCs/>
          <w:color w:val="auto"/>
          <w:spacing w:val="-4"/>
        </w:rPr>
        <w:t> </w:t>
      </w:r>
      <w:r w:rsidRPr="004F74DE">
        <w:rPr>
          <w:rFonts w:ascii="Arial" w:hAnsi="Arial" w:cs="Arial"/>
          <w:b/>
          <w:bCs/>
          <w:color w:val="auto"/>
          <w:spacing w:val="-4"/>
        </w:rPr>
        <w:t>którymi należało uzgodnić saldo w drodze potwierdzenia sald.</w:t>
      </w:r>
      <w:r w:rsidRPr="004F74DE">
        <w:rPr>
          <w:rFonts w:ascii="Arial" w:hAnsi="Arial" w:cs="Arial"/>
          <w:color w:val="auto"/>
          <w:spacing w:val="-4"/>
        </w:rPr>
        <w:t xml:space="preserve"> </w:t>
      </w:r>
    </w:p>
    <w:p w14:paraId="13894DAD" w14:textId="06A3BD77" w:rsidR="00E87443" w:rsidRPr="00F0151C" w:rsidRDefault="00DE0BC5" w:rsidP="0083782A">
      <w:pPr>
        <w:overflowPunct/>
        <w:spacing w:after="0" w:line="360" w:lineRule="auto"/>
        <w:ind w:firstLine="426"/>
        <w:jc w:val="both"/>
        <w:rPr>
          <w:rFonts w:ascii="Arial" w:hAnsi="Arial" w:cs="Arial"/>
          <w:b/>
          <w:bCs/>
          <w:color w:val="auto"/>
          <w:spacing w:val="-2"/>
        </w:rPr>
      </w:pPr>
      <w:r w:rsidRPr="00F0151C">
        <w:rPr>
          <w:rFonts w:ascii="Arial" w:hAnsi="Arial" w:cs="Arial"/>
          <w:color w:val="auto"/>
          <w:spacing w:val="-2"/>
        </w:rPr>
        <w:t>Wobec faktu, iż nie wszystkie salda zostały potwierdzone, inwentaryzacja powinna zostać przeprowadzona drogą weryfikacji wartości należności</w:t>
      </w:r>
      <w:r w:rsidR="00143E36" w:rsidRPr="00F0151C">
        <w:rPr>
          <w:rFonts w:ascii="Arial" w:hAnsi="Arial" w:cs="Arial"/>
          <w:color w:val="auto"/>
          <w:spacing w:val="-2"/>
        </w:rPr>
        <w:t>,</w:t>
      </w:r>
      <w:r w:rsidRPr="00F0151C">
        <w:rPr>
          <w:rFonts w:ascii="Arial" w:hAnsi="Arial" w:cs="Arial"/>
          <w:color w:val="auto"/>
          <w:spacing w:val="-2"/>
        </w:rPr>
        <w:t xml:space="preserve"> bowiem niedopuszczalne jest tzw. milczące potwierdzenie salda. </w:t>
      </w:r>
      <w:r w:rsidR="00143E36" w:rsidRPr="00F0151C">
        <w:rPr>
          <w:rFonts w:ascii="Arial" w:hAnsi="Arial" w:cs="Arial"/>
          <w:color w:val="auto"/>
          <w:spacing w:val="-2"/>
        </w:rPr>
        <w:t xml:space="preserve">W </w:t>
      </w:r>
      <w:r w:rsidR="00863C48" w:rsidRPr="00F0151C">
        <w:rPr>
          <w:rFonts w:ascii="Arial" w:hAnsi="Arial" w:cs="Arial"/>
          <w:color w:val="auto"/>
          <w:spacing w:val="-2"/>
        </w:rPr>
        <w:t>zarządzeniu w</w:t>
      </w:r>
      <w:r w:rsidR="0083782A" w:rsidRPr="00F0151C">
        <w:rPr>
          <w:rFonts w:ascii="Arial" w:hAnsi="Arial" w:cs="Arial"/>
          <w:color w:val="auto"/>
          <w:spacing w:val="-2"/>
        </w:rPr>
        <w:t xml:space="preserve"> § 3 w</w:t>
      </w:r>
      <w:r w:rsidR="00863C48" w:rsidRPr="00F0151C">
        <w:rPr>
          <w:rFonts w:ascii="Arial" w:hAnsi="Arial" w:cs="Arial"/>
          <w:color w:val="auto"/>
          <w:spacing w:val="-2"/>
        </w:rPr>
        <w:t xml:space="preserve"> sprawie inwentaryzacji wskazano, że inwentaryzację </w:t>
      </w:r>
      <w:r w:rsidR="0083782A" w:rsidRPr="00F0151C">
        <w:rPr>
          <w:rFonts w:ascii="Arial" w:hAnsi="Arial" w:cs="Arial"/>
          <w:color w:val="auto"/>
          <w:spacing w:val="-2"/>
        </w:rPr>
        <w:t>uzyskanych od kontrahentów pisemnych potwierdzeń sald należności należy przeprowadzić metodą weryfikacji w terminie od 2 stycznia do 12 stycznia 2023 r., co zostało przeprowadzone</w:t>
      </w:r>
      <w:r w:rsidR="003D2361" w:rsidRPr="00F0151C">
        <w:rPr>
          <w:rFonts w:ascii="Arial" w:hAnsi="Arial" w:cs="Arial"/>
          <w:color w:val="auto"/>
          <w:spacing w:val="-2"/>
        </w:rPr>
        <w:t xml:space="preserve"> poprzez weryfikację zestawie</w:t>
      </w:r>
      <w:r w:rsidR="00E87443" w:rsidRPr="00F0151C">
        <w:rPr>
          <w:rFonts w:ascii="Arial" w:hAnsi="Arial" w:cs="Arial"/>
          <w:color w:val="auto"/>
          <w:spacing w:val="-2"/>
        </w:rPr>
        <w:t>ń</w:t>
      </w:r>
      <w:r w:rsidR="003D2361" w:rsidRPr="00F0151C">
        <w:rPr>
          <w:rFonts w:ascii="Arial" w:hAnsi="Arial" w:cs="Arial"/>
          <w:color w:val="auto"/>
          <w:spacing w:val="-2"/>
        </w:rPr>
        <w:t xml:space="preserve"> obrotów i sald kont zespołu 2 z dnia </w:t>
      </w:r>
      <w:r w:rsidR="00431AB3" w:rsidRPr="00F0151C">
        <w:rPr>
          <w:rFonts w:ascii="Arial" w:hAnsi="Arial" w:cs="Arial"/>
          <w:color w:val="auto"/>
          <w:spacing w:val="-2"/>
        </w:rPr>
        <w:t>11.01.2023 r.</w:t>
      </w:r>
      <w:r w:rsidR="003D2361" w:rsidRPr="00F0151C">
        <w:rPr>
          <w:rFonts w:ascii="Arial" w:hAnsi="Arial" w:cs="Arial"/>
          <w:color w:val="auto"/>
          <w:spacing w:val="-2"/>
        </w:rPr>
        <w:t xml:space="preserve"> ze stanem na dzień 31.12.2021 r. poprzez wpisani</w:t>
      </w:r>
      <w:r w:rsidR="00E87443" w:rsidRPr="00F0151C">
        <w:rPr>
          <w:rFonts w:ascii="Arial" w:hAnsi="Arial" w:cs="Arial"/>
          <w:color w:val="auto"/>
          <w:spacing w:val="-2"/>
        </w:rPr>
        <w:t>e</w:t>
      </w:r>
      <w:r w:rsidR="003D2361" w:rsidRPr="00F0151C">
        <w:rPr>
          <w:rFonts w:ascii="Arial" w:hAnsi="Arial" w:cs="Arial"/>
          <w:color w:val="auto"/>
          <w:spacing w:val="-2"/>
        </w:rPr>
        <w:t xml:space="preserve"> na zestawieniu wyjaśnienia z jakiego tytułu na danym kontrahencie widnieje saldo, jeśli nie zostało </w:t>
      </w:r>
      <w:r w:rsidR="00E87443" w:rsidRPr="00F0151C">
        <w:rPr>
          <w:rFonts w:ascii="Arial" w:hAnsi="Arial" w:cs="Arial"/>
          <w:color w:val="auto"/>
          <w:spacing w:val="-2"/>
        </w:rPr>
        <w:t xml:space="preserve">ono </w:t>
      </w:r>
      <w:r w:rsidR="003D2361" w:rsidRPr="00F0151C">
        <w:rPr>
          <w:rFonts w:ascii="Arial" w:hAnsi="Arial" w:cs="Arial"/>
          <w:color w:val="auto"/>
          <w:spacing w:val="-2"/>
        </w:rPr>
        <w:t xml:space="preserve">potwierdzone. </w:t>
      </w:r>
      <w:r w:rsidR="003D2361" w:rsidRPr="00F0151C">
        <w:rPr>
          <w:rFonts w:ascii="Arial" w:hAnsi="Arial" w:cs="Arial"/>
          <w:b/>
          <w:bCs/>
          <w:color w:val="auto"/>
          <w:spacing w:val="-2"/>
        </w:rPr>
        <w:t xml:space="preserve">Natomiast </w:t>
      </w:r>
      <w:r w:rsidR="00E87443" w:rsidRPr="00F0151C">
        <w:rPr>
          <w:rFonts w:ascii="Arial" w:hAnsi="Arial" w:cs="Arial"/>
          <w:b/>
          <w:bCs/>
          <w:color w:val="auto"/>
          <w:spacing w:val="-2"/>
        </w:rPr>
        <w:t xml:space="preserve">zgodnie z ustawą o rachunkowości ustalenie </w:t>
      </w:r>
      <w:r w:rsidR="00E87443" w:rsidRPr="00F0151C">
        <w:rPr>
          <w:rFonts w:ascii="Arial" w:hAnsi="Arial" w:cs="Arial"/>
          <w:b/>
          <w:bCs/>
          <w:color w:val="auto"/>
          <w:spacing w:val="-2"/>
          <w:u w:val="single"/>
        </w:rPr>
        <w:t>na dzień bilansowy</w:t>
      </w:r>
      <w:r w:rsidR="00E87443" w:rsidRPr="00F0151C">
        <w:rPr>
          <w:rFonts w:ascii="Arial" w:hAnsi="Arial" w:cs="Arial"/>
          <w:b/>
          <w:bCs/>
          <w:color w:val="auto"/>
          <w:spacing w:val="-2"/>
        </w:rPr>
        <w:t xml:space="preserve"> stanu należności następuje poprzez dopisanie / odpisanie od stanu stwierdzonego drogą potwierdzenia salda zwiększeń / zmniejszeń jakie nastąpiły między dat</w:t>
      </w:r>
      <w:r w:rsidR="0056344C" w:rsidRPr="00F0151C">
        <w:rPr>
          <w:rFonts w:ascii="Arial" w:hAnsi="Arial" w:cs="Arial"/>
          <w:b/>
          <w:bCs/>
          <w:color w:val="auto"/>
          <w:spacing w:val="-2"/>
        </w:rPr>
        <w:t>ą</w:t>
      </w:r>
      <w:r w:rsidR="00E87443" w:rsidRPr="00F0151C">
        <w:rPr>
          <w:rFonts w:ascii="Arial" w:hAnsi="Arial" w:cs="Arial"/>
          <w:b/>
          <w:bCs/>
          <w:color w:val="auto"/>
          <w:spacing w:val="-2"/>
        </w:rPr>
        <w:t xml:space="preserve"> potwierdzenia salda (tj. 31.10.2022 r.) a</w:t>
      </w:r>
      <w:r w:rsidR="000547F7" w:rsidRPr="00F0151C">
        <w:rPr>
          <w:rFonts w:ascii="Arial" w:hAnsi="Arial" w:cs="Arial"/>
          <w:b/>
          <w:bCs/>
          <w:color w:val="auto"/>
          <w:spacing w:val="-2"/>
        </w:rPr>
        <w:t> </w:t>
      </w:r>
      <w:r w:rsidR="00E87443" w:rsidRPr="00F0151C">
        <w:rPr>
          <w:rFonts w:ascii="Arial" w:hAnsi="Arial" w:cs="Arial"/>
          <w:b/>
          <w:bCs/>
          <w:color w:val="auto"/>
          <w:spacing w:val="-2"/>
        </w:rPr>
        <w:t xml:space="preserve">dniem bilansowym (tj. 31.12.2022 r.). </w:t>
      </w:r>
      <w:bookmarkStart w:id="21" w:name="_Hlk147301994"/>
      <w:r w:rsidR="0078523D" w:rsidRPr="00F0151C">
        <w:rPr>
          <w:rFonts w:ascii="Arial" w:hAnsi="Arial" w:cs="Arial"/>
          <w:b/>
          <w:bCs/>
          <w:color w:val="auto"/>
          <w:spacing w:val="-2"/>
        </w:rPr>
        <w:t>Wyrywkowa w</w:t>
      </w:r>
      <w:r w:rsidR="00E87443" w:rsidRPr="00F0151C">
        <w:rPr>
          <w:rFonts w:ascii="Arial" w:hAnsi="Arial" w:cs="Arial"/>
          <w:b/>
          <w:bCs/>
          <w:color w:val="auto"/>
          <w:spacing w:val="-2"/>
        </w:rPr>
        <w:t>eryfikacja otrzymanego do kontroli zestawienia obrotów i sald kont zespołu 2 za okres od 1.01.2022 r. na dzień 31.12.2022 r. wykazała, że nie dokonano weryfikacji</w:t>
      </w:r>
      <w:r w:rsidR="00431AB3" w:rsidRPr="00F0151C">
        <w:rPr>
          <w:rFonts w:ascii="Arial" w:hAnsi="Arial" w:cs="Arial"/>
          <w:b/>
          <w:bCs/>
          <w:color w:val="auto"/>
          <w:spacing w:val="-2"/>
        </w:rPr>
        <w:t>,</w:t>
      </w:r>
      <w:r w:rsidR="00E87443" w:rsidRPr="00F0151C">
        <w:rPr>
          <w:rFonts w:ascii="Arial" w:hAnsi="Arial" w:cs="Arial"/>
          <w:b/>
          <w:bCs/>
          <w:color w:val="auto"/>
          <w:spacing w:val="-2"/>
        </w:rPr>
        <w:t xml:space="preserve"> widniejących na dzień bilansowy</w:t>
      </w:r>
      <w:r w:rsidR="00431AB3" w:rsidRPr="00F0151C">
        <w:rPr>
          <w:rFonts w:ascii="Arial" w:hAnsi="Arial" w:cs="Arial"/>
          <w:b/>
          <w:bCs/>
          <w:color w:val="auto"/>
          <w:spacing w:val="-2"/>
        </w:rPr>
        <w:t xml:space="preserve">, </w:t>
      </w:r>
      <w:r w:rsidR="00E87443" w:rsidRPr="00F0151C">
        <w:rPr>
          <w:rFonts w:ascii="Arial" w:hAnsi="Arial" w:cs="Arial"/>
          <w:b/>
          <w:bCs/>
          <w:color w:val="auto"/>
          <w:spacing w:val="-2"/>
        </w:rPr>
        <w:t xml:space="preserve">sald </w:t>
      </w:r>
      <w:r w:rsidR="00431AB3" w:rsidRPr="00F0151C">
        <w:rPr>
          <w:rFonts w:ascii="Arial" w:hAnsi="Arial" w:cs="Arial"/>
          <w:b/>
          <w:bCs/>
          <w:color w:val="auto"/>
          <w:spacing w:val="-2"/>
        </w:rPr>
        <w:t>należności</w:t>
      </w:r>
      <w:bookmarkEnd w:id="21"/>
      <w:r w:rsidR="00431AB3" w:rsidRPr="00F0151C">
        <w:rPr>
          <w:rFonts w:ascii="Arial" w:hAnsi="Arial" w:cs="Arial"/>
          <w:b/>
          <w:bCs/>
          <w:color w:val="auto"/>
          <w:spacing w:val="-2"/>
        </w:rPr>
        <w:t xml:space="preserve"> </w:t>
      </w:r>
      <w:r w:rsidR="00E87443" w:rsidRPr="00F0151C">
        <w:rPr>
          <w:rFonts w:ascii="Arial" w:hAnsi="Arial" w:cs="Arial"/>
          <w:b/>
          <w:bCs/>
          <w:color w:val="auto"/>
          <w:spacing w:val="-2"/>
        </w:rPr>
        <w:t>na koncie:</w:t>
      </w:r>
    </w:p>
    <w:p w14:paraId="01C29300" w14:textId="03BF41E6" w:rsidR="00E87443" w:rsidRPr="00F0151C" w:rsidRDefault="00E87443"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240-011-00041 w kwocie 3 200 zł,</w:t>
      </w:r>
    </w:p>
    <w:p w14:paraId="27D9397D" w14:textId="6F513F1A" w:rsidR="00E87443" w:rsidRPr="00F0151C" w:rsidRDefault="00E87443"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240-012-00045 w kwocie 34 717,70 zł,</w:t>
      </w:r>
    </w:p>
    <w:p w14:paraId="45D4F4C2" w14:textId="7C28AA68" w:rsidR="00E87443" w:rsidRPr="00F0151C" w:rsidRDefault="00E87443"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240-012-00093 w kwocie 0,69 zł,</w:t>
      </w:r>
    </w:p>
    <w:p w14:paraId="2836C533" w14:textId="321F5236" w:rsidR="00E87443" w:rsidRPr="00F0151C" w:rsidRDefault="00E87443"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240-012-00100 w kwocie 49 722,84 zł, weryfikacje przeprowadzono dla salda wynoszącego 48 492,84 zł,</w:t>
      </w:r>
    </w:p>
    <w:p w14:paraId="3FD6CF5A" w14:textId="301869A2" w:rsidR="00E87443" w:rsidRPr="00F0151C" w:rsidRDefault="00E87443"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240-012-00102 w kwocie 452,67 zł,</w:t>
      </w:r>
    </w:p>
    <w:p w14:paraId="607A1EB9" w14:textId="64E01B0A" w:rsidR="0078523D" w:rsidRPr="00F0151C" w:rsidRDefault="0078523D"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240-012-00099 w kwocie 221,40 zł,</w:t>
      </w:r>
    </w:p>
    <w:p w14:paraId="76658AF8" w14:textId="180352B5" w:rsidR="0078523D" w:rsidRPr="00F0151C" w:rsidRDefault="0078523D"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201-241-00001 w kwocie 14 974,16  zł,</w:t>
      </w:r>
    </w:p>
    <w:p w14:paraId="61716AA9" w14:textId="5ED370F4" w:rsidR="0078523D" w:rsidRPr="00F0151C" w:rsidRDefault="0078523D"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201-241-00020 w kwocie 189,31 zł,</w:t>
      </w:r>
    </w:p>
    <w:p w14:paraId="6F25B67E" w14:textId="3553861F" w:rsidR="0078523D" w:rsidRPr="00F0151C" w:rsidRDefault="0078523D"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201-241-00039 w kwocie 46,48 zł, weryfikacje przeprowadzono dla salda wynoszącego 17,12 zł,</w:t>
      </w:r>
    </w:p>
    <w:p w14:paraId="07B49F11" w14:textId="53ABA228" w:rsidR="0078523D" w:rsidRPr="00F0151C" w:rsidRDefault="0078523D"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201-241-00040 w kwocie 67,28 zł, weryfikacje przeprowadzono dla salda wynoszącego36,26 zł,</w:t>
      </w:r>
    </w:p>
    <w:p w14:paraId="04B0090E" w14:textId="7FC767A7" w:rsidR="0078523D" w:rsidRPr="00F0151C" w:rsidRDefault="0078523D"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lastRenderedPageBreak/>
        <w:t>201-241-00054 w kwocie 15,29 zł,</w:t>
      </w:r>
    </w:p>
    <w:p w14:paraId="0043CC59" w14:textId="6B75434C" w:rsidR="0078523D" w:rsidRPr="00F0151C" w:rsidRDefault="0078523D" w:rsidP="00384BC5">
      <w:pPr>
        <w:pStyle w:val="Akapitzlist"/>
        <w:numPr>
          <w:ilvl w:val="0"/>
          <w:numId w:val="35"/>
        </w:numPr>
        <w:overflowPunct/>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201-241-00068 w kwocie 15,29 zł.</w:t>
      </w:r>
    </w:p>
    <w:p w14:paraId="0974EA0F" w14:textId="29A7FF00" w:rsidR="00261898" w:rsidRPr="00F0151C" w:rsidRDefault="00600D5B" w:rsidP="00261898">
      <w:pPr>
        <w:overflowPunct/>
        <w:spacing w:after="0" w:line="360" w:lineRule="auto"/>
        <w:ind w:firstLine="426"/>
        <w:jc w:val="both"/>
        <w:rPr>
          <w:rFonts w:ascii="Arial" w:hAnsi="Arial" w:cs="Arial"/>
          <w:color w:val="auto"/>
          <w:spacing w:val="-2"/>
        </w:rPr>
      </w:pPr>
      <w:r w:rsidRPr="00F0151C">
        <w:rPr>
          <w:rFonts w:ascii="Arial" w:hAnsi="Arial" w:cs="Arial"/>
          <w:color w:val="auto"/>
          <w:spacing w:val="-2"/>
        </w:rPr>
        <w:t>Do kontroli</w:t>
      </w:r>
      <w:r w:rsidR="00906BE0" w:rsidRPr="00F0151C">
        <w:rPr>
          <w:rFonts w:ascii="Arial" w:hAnsi="Arial" w:cs="Arial"/>
          <w:color w:val="auto"/>
          <w:spacing w:val="-2"/>
        </w:rPr>
        <w:t xml:space="preserve"> </w:t>
      </w:r>
      <w:r w:rsidRPr="00F0151C">
        <w:rPr>
          <w:rFonts w:ascii="Arial" w:hAnsi="Arial" w:cs="Arial"/>
          <w:color w:val="auto"/>
          <w:spacing w:val="-2"/>
        </w:rPr>
        <w:t>przedłożono</w:t>
      </w:r>
      <w:r w:rsidR="0056344C" w:rsidRPr="00F0151C">
        <w:rPr>
          <w:rFonts w:ascii="Arial" w:hAnsi="Arial" w:cs="Arial"/>
          <w:color w:val="auto"/>
          <w:spacing w:val="-2"/>
        </w:rPr>
        <w:t xml:space="preserve"> </w:t>
      </w:r>
      <w:r w:rsidRPr="00F0151C">
        <w:rPr>
          <w:rFonts w:ascii="Arial" w:hAnsi="Arial" w:cs="Arial"/>
          <w:color w:val="auto"/>
          <w:spacing w:val="-2"/>
        </w:rPr>
        <w:t>zestawieni</w:t>
      </w:r>
      <w:r w:rsidR="0056344C" w:rsidRPr="00F0151C">
        <w:rPr>
          <w:rFonts w:ascii="Arial" w:hAnsi="Arial" w:cs="Arial"/>
          <w:color w:val="auto"/>
          <w:spacing w:val="-2"/>
        </w:rPr>
        <w:t>e</w:t>
      </w:r>
      <w:r w:rsidRPr="00F0151C">
        <w:rPr>
          <w:rFonts w:ascii="Arial" w:hAnsi="Arial" w:cs="Arial"/>
          <w:color w:val="auto"/>
          <w:spacing w:val="-2"/>
        </w:rPr>
        <w:t xml:space="preserve"> obrotów i sald konta 201-200 </w:t>
      </w:r>
      <w:r w:rsidRPr="00F0151C">
        <w:rPr>
          <w:rFonts w:ascii="Arial" w:hAnsi="Arial" w:cs="Arial"/>
          <w:i/>
          <w:iCs/>
          <w:color w:val="auto"/>
          <w:spacing w:val="-2"/>
        </w:rPr>
        <w:t>Rozrachunki z</w:t>
      </w:r>
      <w:r w:rsidR="0056344C" w:rsidRPr="00F0151C">
        <w:rPr>
          <w:rFonts w:ascii="Arial" w:hAnsi="Arial" w:cs="Arial"/>
          <w:i/>
          <w:iCs/>
          <w:color w:val="auto"/>
          <w:spacing w:val="-2"/>
        </w:rPr>
        <w:t> </w:t>
      </w:r>
      <w:r w:rsidRPr="00F0151C">
        <w:rPr>
          <w:rFonts w:ascii="Arial" w:hAnsi="Arial" w:cs="Arial"/>
          <w:i/>
          <w:iCs/>
          <w:color w:val="auto"/>
          <w:spacing w:val="-2"/>
        </w:rPr>
        <w:t>odbiorcami i dostawcami – zakup</w:t>
      </w:r>
      <w:r w:rsidR="0056344C" w:rsidRPr="00F0151C">
        <w:rPr>
          <w:rFonts w:ascii="Arial" w:hAnsi="Arial" w:cs="Arial"/>
          <w:i/>
          <w:iCs/>
          <w:color w:val="auto"/>
          <w:spacing w:val="-2"/>
        </w:rPr>
        <w:t>,</w:t>
      </w:r>
      <w:r w:rsidRPr="00F0151C">
        <w:rPr>
          <w:rFonts w:ascii="Arial" w:hAnsi="Arial" w:cs="Arial"/>
          <w:color w:val="auto"/>
          <w:spacing w:val="-2"/>
        </w:rPr>
        <w:t xml:space="preserve"> </w:t>
      </w:r>
      <w:r w:rsidR="0056344C" w:rsidRPr="00F0151C">
        <w:rPr>
          <w:rFonts w:ascii="Arial" w:hAnsi="Arial" w:cs="Arial"/>
          <w:color w:val="auto"/>
          <w:spacing w:val="-2"/>
        </w:rPr>
        <w:t>na dzień 31.12.2022 r., z saldem Wn – 23 606,32 zł (saldo należności) oraz Ma 2 454 162,81 zł (saldo zobowiązań)</w:t>
      </w:r>
      <w:r w:rsidR="008E2093" w:rsidRPr="00F0151C">
        <w:rPr>
          <w:rFonts w:ascii="Arial" w:hAnsi="Arial" w:cs="Arial"/>
          <w:color w:val="auto"/>
          <w:spacing w:val="-2"/>
        </w:rPr>
        <w:t xml:space="preserve"> tj. per saldo w kwocie 2 430 556,49 zł</w:t>
      </w:r>
      <w:r w:rsidR="0056344C" w:rsidRPr="00F0151C">
        <w:rPr>
          <w:rFonts w:ascii="Arial" w:hAnsi="Arial" w:cs="Arial"/>
          <w:color w:val="auto"/>
          <w:spacing w:val="-2"/>
        </w:rPr>
        <w:t>. Zestawienie obrotów porównano z</w:t>
      </w:r>
      <w:r w:rsidR="009A72CB" w:rsidRPr="00F0151C">
        <w:rPr>
          <w:rFonts w:ascii="Arial" w:hAnsi="Arial" w:cs="Arial"/>
          <w:color w:val="auto"/>
          <w:spacing w:val="-2"/>
        </w:rPr>
        <w:t> </w:t>
      </w:r>
      <w:r w:rsidR="0056344C" w:rsidRPr="00F0151C">
        <w:rPr>
          <w:rFonts w:ascii="Arial" w:hAnsi="Arial" w:cs="Arial"/>
          <w:color w:val="auto"/>
          <w:spacing w:val="-2"/>
        </w:rPr>
        <w:t>tabelą dokumentującą przeprowadzenie inwentaryzacji w</w:t>
      </w:r>
      <w:r w:rsidR="008F191A" w:rsidRPr="00F0151C">
        <w:rPr>
          <w:rFonts w:ascii="Arial" w:hAnsi="Arial" w:cs="Arial"/>
          <w:color w:val="auto"/>
          <w:spacing w:val="-2"/>
        </w:rPr>
        <w:t> </w:t>
      </w:r>
      <w:r w:rsidR="0056344C" w:rsidRPr="00F0151C">
        <w:rPr>
          <w:rFonts w:ascii="Arial" w:hAnsi="Arial" w:cs="Arial"/>
          <w:color w:val="auto"/>
          <w:spacing w:val="-2"/>
        </w:rPr>
        <w:t>drodze weryfikacji</w:t>
      </w:r>
      <w:r w:rsidRPr="00F0151C">
        <w:rPr>
          <w:rFonts w:ascii="Arial" w:hAnsi="Arial" w:cs="Arial"/>
          <w:color w:val="auto"/>
          <w:spacing w:val="-2"/>
        </w:rPr>
        <w:t xml:space="preserve"> konta, tj. „salda na 31.12.2022 r. – wydruk z dnia 11.01.2023 r.”</w:t>
      </w:r>
      <w:r w:rsidR="008E2093" w:rsidRPr="00F0151C">
        <w:rPr>
          <w:rFonts w:ascii="Arial" w:hAnsi="Arial" w:cs="Arial"/>
          <w:color w:val="auto"/>
          <w:spacing w:val="-2"/>
        </w:rPr>
        <w:t xml:space="preserve"> na którym dokonano weryfikacji sald kontrahentów na kwotę 1 373 691,31 zł</w:t>
      </w:r>
      <w:r w:rsidRPr="00F0151C">
        <w:rPr>
          <w:rFonts w:ascii="Arial" w:hAnsi="Arial" w:cs="Arial"/>
          <w:color w:val="auto"/>
          <w:spacing w:val="-2"/>
        </w:rPr>
        <w:t xml:space="preserve">. </w:t>
      </w:r>
      <w:r w:rsidR="00874E2B" w:rsidRPr="00F0151C">
        <w:rPr>
          <w:rFonts w:ascii="Arial" w:hAnsi="Arial" w:cs="Arial"/>
          <w:color w:val="auto"/>
          <w:spacing w:val="-2"/>
        </w:rPr>
        <w:t>Tabela zawierała kont</w:t>
      </w:r>
      <w:r w:rsidR="00261898" w:rsidRPr="00F0151C">
        <w:rPr>
          <w:rFonts w:ascii="Arial" w:hAnsi="Arial" w:cs="Arial"/>
          <w:color w:val="auto"/>
          <w:spacing w:val="-2"/>
        </w:rPr>
        <w:t>a</w:t>
      </w:r>
      <w:r w:rsidR="00874E2B" w:rsidRPr="00F0151C">
        <w:rPr>
          <w:rFonts w:ascii="Arial" w:hAnsi="Arial" w:cs="Arial"/>
          <w:color w:val="auto"/>
          <w:spacing w:val="-2"/>
        </w:rPr>
        <w:t xml:space="preserve"> kontrahent</w:t>
      </w:r>
      <w:r w:rsidR="00261898" w:rsidRPr="00F0151C">
        <w:rPr>
          <w:rFonts w:ascii="Arial" w:hAnsi="Arial" w:cs="Arial"/>
          <w:color w:val="auto"/>
          <w:spacing w:val="-2"/>
        </w:rPr>
        <w:t>ów</w:t>
      </w:r>
      <w:r w:rsidR="00874E2B" w:rsidRPr="00F0151C">
        <w:rPr>
          <w:rFonts w:ascii="Arial" w:hAnsi="Arial" w:cs="Arial"/>
          <w:color w:val="auto"/>
          <w:spacing w:val="-2"/>
        </w:rPr>
        <w:t xml:space="preserve"> z wyszczególnionymi dokumentami</w:t>
      </w:r>
      <w:r w:rsidR="0015277A" w:rsidRPr="00F0151C">
        <w:rPr>
          <w:rFonts w:ascii="Arial" w:hAnsi="Arial" w:cs="Arial"/>
          <w:color w:val="auto"/>
          <w:spacing w:val="-2"/>
        </w:rPr>
        <w:t>,</w:t>
      </w:r>
      <w:r w:rsidR="00874E2B" w:rsidRPr="00F0151C">
        <w:rPr>
          <w:rFonts w:ascii="Arial" w:hAnsi="Arial" w:cs="Arial"/>
          <w:color w:val="auto"/>
          <w:spacing w:val="-2"/>
        </w:rPr>
        <w:t xml:space="preserve"> z których dane saldo wynikało. S</w:t>
      </w:r>
      <w:r w:rsidR="0056344C" w:rsidRPr="00F0151C">
        <w:rPr>
          <w:rFonts w:ascii="Arial" w:hAnsi="Arial" w:cs="Arial"/>
          <w:color w:val="auto"/>
          <w:spacing w:val="-2"/>
        </w:rPr>
        <w:t xml:space="preserve">twierdzono, że dokonano weryfikacji </w:t>
      </w:r>
      <w:r w:rsidR="009A72CB" w:rsidRPr="00F0151C">
        <w:rPr>
          <w:rFonts w:ascii="Arial" w:hAnsi="Arial" w:cs="Arial"/>
          <w:color w:val="auto"/>
          <w:spacing w:val="-2"/>
        </w:rPr>
        <w:t xml:space="preserve">sald kontrahentów, </w:t>
      </w:r>
      <w:r w:rsidR="0056344C" w:rsidRPr="00F0151C">
        <w:rPr>
          <w:rFonts w:ascii="Arial" w:hAnsi="Arial" w:cs="Arial"/>
          <w:color w:val="auto"/>
          <w:spacing w:val="-2"/>
        </w:rPr>
        <w:t>widniejących w księgach na dzień</w:t>
      </w:r>
      <w:r w:rsidR="009A72CB" w:rsidRPr="00F0151C">
        <w:rPr>
          <w:rFonts w:ascii="Arial" w:hAnsi="Arial" w:cs="Arial"/>
          <w:color w:val="auto"/>
          <w:spacing w:val="-2"/>
        </w:rPr>
        <w:t xml:space="preserve"> </w:t>
      </w:r>
      <w:r w:rsidR="0056344C" w:rsidRPr="00F0151C">
        <w:rPr>
          <w:rFonts w:ascii="Arial" w:hAnsi="Arial" w:cs="Arial"/>
          <w:color w:val="auto"/>
          <w:spacing w:val="-2"/>
        </w:rPr>
        <w:t>31.12.2022 r., ale według stanu na dzień 11.01.2023 r., a nie na dzień bilansowy</w:t>
      </w:r>
      <w:r w:rsidR="009A72CB" w:rsidRPr="00F0151C">
        <w:rPr>
          <w:rFonts w:ascii="Arial" w:hAnsi="Arial" w:cs="Arial"/>
          <w:color w:val="auto"/>
          <w:spacing w:val="-2"/>
        </w:rPr>
        <w:t xml:space="preserve">. </w:t>
      </w:r>
    </w:p>
    <w:p w14:paraId="4B8797A6" w14:textId="40971431" w:rsidR="00196D7D" w:rsidRPr="00F0151C" w:rsidRDefault="00196D7D" w:rsidP="00196D7D">
      <w:pPr>
        <w:tabs>
          <w:tab w:val="left" w:pos="426"/>
        </w:tabs>
        <w:spacing w:after="0" w:line="360" w:lineRule="auto"/>
        <w:jc w:val="both"/>
        <w:rPr>
          <w:rFonts w:ascii="Arial" w:hAnsi="Arial" w:cs="Arial"/>
          <w:b/>
          <w:bCs/>
          <w:color w:val="auto"/>
          <w:spacing w:val="-2"/>
        </w:rPr>
      </w:pPr>
      <w:r w:rsidRPr="00F0151C">
        <w:rPr>
          <w:rFonts w:ascii="Arial" w:hAnsi="Arial" w:cs="Arial"/>
          <w:color w:val="auto"/>
          <w:spacing w:val="-2"/>
        </w:rPr>
        <w:tab/>
      </w:r>
      <w:bookmarkStart w:id="22" w:name="_Hlk147302825"/>
      <w:r w:rsidRPr="00F0151C">
        <w:rPr>
          <w:rFonts w:ascii="Arial" w:hAnsi="Arial" w:cs="Arial"/>
          <w:b/>
          <w:bCs/>
          <w:color w:val="auto"/>
          <w:spacing w:val="-2"/>
        </w:rPr>
        <w:t>W zakresie potwierdzenia sald otrzymanych od kontrahentów stwierdzono</w:t>
      </w:r>
      <w:r w:rsidR="00190BDC" w:rsidRPr="00F0151C">
        <w:rPr>
          <w:rFonts w:ascii="Arial" w:hAnsi="Arial" w:cs="Arial"/>
          <w:b/>
          <w:bCs/>
          <w:color w:val="auto"/>
          <w:spacing w:val="-2"/>
        </w:rPr>
        <w:t>, że</w:t>
      </w:r>
      <w:r w:rsidR="007D6D5D" w:rsidRPr="00F0151C">
        <w:rPr>
          <w:rFonts w:ascii="Arial" w:hAnsi="Arial" w:cs="Arial"/>
          <w:b/>
          <w:bCs/>
          <w:color w:val="auto"/>
          <w:spacing w:val="-2"/>
        </w:rPr>
        <w:t> </w:t>
      </w:r>
      <w:r w:rsidR="00453311" w:rsidRPr="00F0151C">
        <w:rPr>
          <w:rFonts w:ascii="Arial" w:hAnsi="Arial" w:cs="Arial"/>
          <w:b/>
          <w:bCs/>
          <w:color w:val="auto"/>
          <w:spacing w:val="-2"/>
        </w:rPr>
        <w:t>nieprawidłowo potwierdzono saldo otrzymane do potwierdzenia</w:t>
      </w:r>
      <w:r w:rsidRPr="00F0151C">
        <w:rPr>
          <w:rFonts w:ascii="Arial" w:hAnsi="Arial" w:cs="Arial"/>
          <w:b/>
          <w:bCs/>
          <w:color w:val="auto"/>
          <w:spacing w:val="-2"/>
        </w:rPr>
        <w:t>:</w:t>
      </w:r>
    </w:p>
    <w:bookmarkEnd w:id="22"/>
    <w:p w14:paraId="3A07BC7E" w14:textId="3E69CA5C" w:rsidR="00442781" w:rsidRPr="00F0151C" w:rsidRDefault="00F40B6D" w:rsidP="00384BC5">
      <w:pPr>
        <w:pStyle w:val="Akapitzlist"/>
        <w:numPr>
          <w:ilvl w:val="0"/>
          <w:numId w:val="38"/>
        </w:numPr>
        <w:tabs>
          <w:tab w:val="left" w:pos="426"/>
        </w:tabs>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od </w:t>
      </w:r>
      <w:r w:rsidR="00196D7D" w:rsidRPr="00F0151C">
        <w:rPr>
          <w:rFonts w:ascii="Arial" w:hAnsi="Arial" w:cs="Arial"/>
          <w:color w:val="auto"/>
          <w:spacing w:val="-2"/>
          <w:sz w:val="22"/>
          <w:szCs w:val="22"/>
          <w:lang w:val="pl-PL"/>
        </w:rPr>
        <w:t>RCGW</w:t>
      </w:r>
      <w:r w:rsidRPr="00F0151C">
        <w:rPr>
          <w:rFonts w:ascii="Arial" w:hAnsi="Arial" w:cs="Arial"/>
          <w:color w:val="auto"/>
          <w:spacing w:val="-2"/>
          <w:sz w:val="22"/>
          <w:szCs w:val="22"/>
          <w:lang w:val="pl-PL"/>
        </w:rPr>
        <w:t xml:space="preserve"> S.A. (kontrahent 201-200-00915) na kwotę 14 348,10 zł, które potwierdzono 7.12.2022 r. jako „saldo zgodne” na dzień 31.10.2022 r. Natomiast z</w:t>
      </w:r>
      <w:r w:rsidR="005E1605"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 xml:space="preserve">zestawienia obrotów i sald wynika, że saldo na koncie kontrahenta na 31.10.2022 r. wynosiło 16 286,80 zł, co wynikało z ujęcia w październiku 2022 r. dwóch faktur nr </w:t>
      </w:r>
      <w:r w:rsidR="005E1605" w:rsidRPr="00F0151C">
        <w:rPr>
          <w:rFonts w:ascii="Arial" w:hAnsi="Arial" w:cs="Arial"/>
          <w:color w:val="auto"/>
          <w:spacing w:val="-2"/>
          <w:sz w:val="22"/>
          <w:szCs w:val="22"/>
          <w:lang w:val="pl-PL"/>
        </w:rPr>
        <w:t xml:space="preserve">1386/10/2022/N z 25.10.2022 r. na kwotę 1 382,65 zł oraz nr 2306/10/2022/P z 3.11.2022 r. na kwotę 556,05 zł. Ponadto w dokumentacji znajdowało się pismo z prośbą o potwierdzenie salda na 31.10.2022 r. wysłane </w:t>
      </w:r>
      <w:r w:rsidR="00342442" w:rsidRPr="00F0151C">
        <w:rPr>
          <w:rFonts w:ascii="Arial" w:hAnsi="Arial" w:cs="Arial"/>
          <w:color w:val="auto"/>
          <w:spacing w:val="-2"/>
          <w:sz w:val="22"/>
          <w:szCs w:val="22"/>
          <w:lang w:val="pl-PL"/>
        </w:rPr>
        <w:t xml:space="preserve">przez MZBM w Tychach </w:t>
      </w:r>
      <w:r w:rsidR="005E1605" w:rsidRPr="00F0151C">
        <w:rPr>
          <w:rFonts w:ascii="Arial" w:hAnsi="Arial" w:cs="Arial"/>
          <w:color w:val="auto"/>
          <w:spacing w:val="-2"/>
          <w:sz w:val="22"/>
          <w:szCs w:val="22"/>
          <w:lang w:val="pl-PL"/>
        </w:rPr>
        <w:t>do kontrahenta RCGW S.A. na kwotę 16 286,80 zł, sporządzone 24.11.2022</w:t>
      </w:r>
      <w:r w:rsidR="00342442" w:rsidRPr="00F0151C">
        <w:rPr>
          <w:rFonts w:ascii="Arial" w:hAnsi="Arial" w:cs="Arial"/>
          <w:color w:val="auto"/>
          <w:spacing w:val="-2"/>
          <w:sz w:val="22"/>
          <w:szCs w:val="22"/>
          <w:lang w:val="pl-PL"/>
        </w:rPr>
        <w:t> </w:t>
      </w:r>
      <w:r w:rsidR="005E1605" w:rsidRPr="00F0151C">
        <w:rPr>
          <w:rFonts w:ascii="Arial" w:hAnsi="Arial" w:cs="Arial"/>
          <w:color w:val="auto"/>
          <w:spacing w:val="-2"/>
          <w:sz w:val="22"/>
          <w:szCs w:val="22"/>
          <w:lang w:val="pl-PL"/>
        </w:rPr>
        <w:t>r.</w:t>
      </w:r>
      <w:r w:rsidR="00342442" w:rsidRPr="00F0151C">
        <w:rPr>
          <w:rFonts w:ascii="Arial" w:hAnsi="Arial" w:cs="Arial"/>
          <w:color w:val="auto"/>
          <w:spacing w:val="-2"/>
          <w:sz w:val="22"/>
          <w:szCs w:val="22"/>
          <w:lang w:val="pl-PL"/>
        </w:rPr>
        <w:t>, które zostało potwierdzone.</w:t>
      </w:r>
    </w:p>
    <w:p w14:paraId="2316F552" w14:textId="53AE1BFC" w:rsidR="00196D7D" w:rsidRPr="004F74DE" w:rsidRDefault="00196D7D" w:rsidP="00384BC5">
      <w:pPr>
        <w:pStyle w:val="Akapitzlist"/>
        <w:numPr>
          <w:ilvl w:val="0"/>
          <w:numId w:val="38"/>
        </w:numPr>
        <w:tabs>
          <w:tab w:val="left" w:pos="426"/>
        </w:tabs>
        <w:ind w:left="426" w:hanging="426"/>
        <w:rPr>
          <w:rFonts w:ascii="Arial" w:hAnsi="Arial" w:cs="Arial"/>
          <w:color w:val="auto"/>
          <w:spacing w:val="-5"/>
          <w:sz w:val="22"/>
          <w:szCs w:val="22"/>
          <w:lang w:val="pl-PL"/>
        </w:rPr>
      </w:pPr>
      <w:r w:rsidRPr="004F74DE">
        <w:rPr>
          <w:rFonts w:ascii="Arial" w:hAnsi="Arial" w:cs="Arial"/>
          <w:color w:val="auto"/>
          <w:spacing w:val="-5"/>
          <w:sz w:val="22"/>
          <w:szCs w:val="22"/>
          <w:lang w:val="pl-PL"/>
        </w:rPr>
        <w:t>Tauron</w:t>
      </w:r>
      <w:r w:rsidR="00453311" w:rsidRPr="004F74DE">
        <w:rPr>
          <w:rFonts w:ascii="Arial" w:hAnsi="Arial" w:cs="Arial"/>
          <w:color w:val="auto"/>
          <w:spacing w:val="-5"/>
          <w:sz w:val="22"/>
          <w:szCs w:val="22"/>
          <w:lang w:val="pl-PL"/>
        </w:rPr>
        <w:t xml:space="preserve"> Dystrybucja S.A.</w:t>
      </w:r>
      <w:r w:rsidR="00AA5AEA" w:rsidRPr="004F74DE">
        <w:rPr>
          <w:rFonts w:ascii="Arial" w:hAnsi="Arial" w:cs="Arial"/>
          <w:color w:val="auto"/>
          <w:spacing w:val="-5"/>
          <w:sz w:val="22"/>
          <w:szCs w:val="22"/>
          <w:lang w:val="pl-PL"/>
        </w:rPr>
        <w:t xml:space="preserve"> </w:t>
      </w:r>
      <w:r w:rsidR="00453311" w:rsidRPr="004F74DE">
        <w:rPr>
          <w:rFonts w:ascii="Arial" w:hAnsi="Arial" w:cs="Arial"/>
          <w:color w:val="auto"/>
          <w:spacing w:val="-5"/>
          <w:sz w:val="22"/>
          <w:szCs w:val="22"/>
          <w:lang w:val="pl-PL"/>
        </w:rPr>
        <w:t>(kontrahent 201-200-00020) jako „saldo zgodne”. W</w:t>
      </w:r>
      <w:r w:rsidR="00442781" w:rsidRPr="004F74DE">
        <w:rPr>
          <w:rFonts w:ascii="Arial" w:hAnsi="Arial" w:cs="Arial"/>
          <w:color w:val="auto"/>
          <w:spacing w:val="-5"/>
          <w:sz w:val="22"/>
          <w:szCs w:val="22"/>
          <w:lang w:val="pl-PL"/>
        </w:rPr>
        <w:t> </w:t>
      </w:r>
      <w:r w:rsidR="00453311" w:rsidRPr="004F74DE">
        <w:rPr>
          <w:rFonts w:ascii="Arial" w:hAnsi="Arial" w:cs="Arial"/>
          <w:color w:val="auto"/>
          <w:spacing w:val="-5"/>
          <w:sz w:val="22"/>
          <w:szCs w:val="22"/>
          <w:lang w:val="pl-PL"/>
        </w:rPr>
        <w:t>dokumentacji znajdowały się dwa pisma z prośbą o potwierdzenie sald na 31.10.2022</w:t>
      </w:r>
      <w:r w:rsidR="00442781" w:rsidRPr="004F74DE">
        <w:rPr>
          <w:rFonts w:ascii="Arial" w:hAnsi="Arial" w:cs="Arial"/>
          <w:color w:val="auto"/>
          <w:spacing w:val="-5"/>
          <w:sz w:val="22"/>
          <w:szCs w:val="22"/>
          <w:lang w:val="pl-PL"/>
        </w:rPr>
        <w:t> </w:t>
      </w:r>
      <w:r w:rsidR="00453311" w:rsidRPr="004F74DE">
        <w:rPr>
          <w:rFonts w:ascii="Arial" w:hAnsi="Arial" w:cs="Arial"/>
          <w:color w:val="auto"/>
          <w:spacing w:val="-5"/>
          <w:sz w:val="22"/>
          <w:szCs w:val="22"/>
          <w:lang w:val="pl-PL"/>
        </w:rPr>
        <w:t>r., tj. na kwotę 9 870,20 (nr kontrahenta 5600042), 25 350,44 zł (nr</w:t>
      </w:r>
      <w:r w:rsidR="00442781" w:rsidRPr="004F74DE">
        <w:rPr>
          <w:rFonts w:ascii="Arial" w:hAnsi="Arial" w:cs="Arial"/>
          <w:color w:val="auto"/>
          <w:spacing w:val="-5"/>
          <w:sz w:val="22"/>
          <w:szCs w:val="22"/>
          <w:lang w:val="pl-PL"/>
        </w:rPr>
        <w:t> </w:t>
      </w:r>
      <w:r w:rsidR="00453311" w:rsidRPr="004F74DE">
        <w:rPr>
          <w:rFonts w:ascii="Arial" w:hAnsi="Arial" w:cs="Arial"/>
          <w:color w:val="auto"/>
          <w:spacing w:val="-5"/>
          <w:sz w:val="22"/>
          <w:szCs w:val="22"/>
          <w:lang w:val="pl-PL"/>
        </w:rPr>
        <w:t>kontrahenta 50001035)</w:t>
      </w:r>
      <w:r w:rsidR="00856B7C" w:rsidRPr="004F74DE">
        <w:rPr>
          <w:rFonts w:ascii="Arial" w:hAnsi="Arial" w:cs="Arial"/>
          <w:color w:val="auto"/>
          <w:spacing w:val="-5"/>
          <w:sz w:val="22"/>
          <w:szCs w:val="22"/>
          <w:lang w:val="pl-PL"/>
        </w:rPr>
        <w:t>, tj. łącznie kwota 35 220,64 zł,</w:t>
      </w:r>
      <w:r w:rsidR="00453311" w:rsidRPr="004F74DE">
        <w:rPr>
          <w:rFonts w:ascii="Arial" w:hAnsi="Arial" w:cs="Arial"/>
          <w:color w:val="auto"/>
          <w:spacing w:val="-5"/>
          <w:sz w:val="22"/>
          <w:szCs w:val="22"/>
          <w:lang w:val="pl-PL"/>
        </w:rPr>
        <w:t xml:space="preserve"> z wyszczególnieniem numerów faktur i </w:t>
      </w:r>
      <w:r w:rsidR="00856B7C" w:rsidRPr="004F74DE">
        <w:rPr>
          <w:rFonts w:ascii="Arial" w:hAnsi="Arial" w:cs="Arial"/>
          <w:color w:val="auto"/>
          <w:spacing w:val="-5"/>
          <w:sz w:val="22"/>
          <w:szCs w:val="22"/>
          <w:lang w:val="pl-PL"/>
        </w:rPr>
        <w:t>ich wartości, które składają się na ww. salda</w:t>
      </w:r>
      <w:r w:rsidR="00453311" w:rsidRPr="004F74DE">
        <w:rPr>
          <w:rFonts w:ascii="Arial" w:hAnsi="Arial" w:cs="Arial"/>
          <w:color w:val="auto"/>
          <w:spacing w:val="-5"/>
          <w:sz w:val="22"/>
          <w:szCs w:val="22"/>
          <w:lang w:val="pl-PL"/>
        </w:rPr>
        <w:t>.</w:t>
      </w:r>
      <w:r w:rsidR="00856B7C" w:rsidRPr="004F74DE">
        <w:rPr>
          <w:rFonts w:ascii="Arial" w:hAnsi="Arial" w:cs="Arial"/>
          <w:color w:val="auto"/>
          <w:spacing w:val="-5"/>
          <w:sz w:val="22"/>
          <w:szCs w:val="22"/>
          <w:lang w:val="pl-PL"/>
        </w:rPr>
        <w:t xml:space="preserve"> Zauważa się, że w związku z brakiem odpowiedniej analityki na koncie kontrahenta 201-200-00020 w odniesieniu do odpowiednich punktów poboru energii brak jest możliwości potwierdzenia każdego salda z osobna, bowiem z</w:t>
      </w:r>
      <w:r w:rsidR="00453311" w:rsidRPr="004F74DE">
        <w:rPr>
          <w:rFonts w:ascii="Arial" w:hAnsi="Arial" w:cs="Arial"/>
          <w:color w:val="auto"/>
          <w:spacing w:val="-5"/>
          <w:sz w:val="22"/>
          <w:szCs w:val="22"/>
          <w:lang w:val="pl-PL"/>
        </w:rPr>
        <w:t>godnie z zestawieniem obrotów i sald kontrahenta saldo na 31.10.2022 r. wynosiło 28 543,60 zł</w:t>
      </w:r>
      <w:r w:rsidR="00856B7C" w:rsidRPr="004F74DE">
        <w:rPr>
          <w:rFonts w:ascii="Arial" w:hAnsi="Arial" w:cs="Arial"/>
          <w:color w:val="auto"/>
          <w:spacing w:val="-5"/>
          <w:sz w:val="22"/>
          <w:szCs w:val="22"/>
          <w:lang w:val="pl-PL"/>
        </w:rPr>
        <w:t xml:space="preserve">, tj. różnica w kwocie 6 677,04 zł, na którą składają się wskazane w potwierdzeniu salda faktury nr </w:t>
      </w:r>
      <w:r w:rsidR="00442781" w:rsidRPr="004F74DE">
        <w:rPr>
          <w:rFonts w:ascii="Arial" w:hAnsi="Arial" w:cs="Arial"/>
          <w:color w:val="auto"/>
          <w:spacing w:val="-5"/>
          <w:sz w:val="22"/>
          <w:szCs w:val="22"/>
          <w:lang w:val="pl-PL"/>
        </w:rPr>
        <w:t xml:space="preserve">D/D1/0291269/22/1 na kwotę 2 738,15 zł, D/D1/0291267/22/1 na kwotę 2 669,72 zł, D/D1/0291268/22/1 na kwotę 2 669,72 zł, które w księgach rachunkowych </w:t>
      </w:r>
      <w:r w:rsidR="001F0ABF" w:rsidRPr="004F74DE">
        <w:rPr>
          <w:rFonts w:ascii="Arial" w:hAnsi="Arial" w:cs="Arial"/>
          <w:color w:val="auto"/>
          <w:spacing w:val="-5"/>
          <w:sz w:val="22"/>
          <w:szCs w:val="22"/>
          <w:lang w:val="pl-PL"/>
        </w:rPr>
        <w:t xml:space="preserve">prawidłowo </w:t>
      </w:r>
      <w:r w:rsidR="00442781" w:rsidRPr="004F74DE">
        <w:rPr>
          <w:rFonts w:ascii="Arial" w:hAnsi="Arial" w:cs="Arial"/>
          <w:color w:val="auto"/>
          <w:spacing w:val="-5"/>
          <w:sz w:val="22"/>
          <w:szCs w:val="22"/>
          <w:lang w:val="pl-PL"/>
        </w:rPr>
        <w:t>zostały ujęte w listopadzie 2022 r. oraz faktur</w:t>
      </w:r>
      <w:r w:rsidR="001F0ABF" w:rsidRPr="004F74DE">
        <w:rPr>
          <w:rFonts w:ascii="Arial" w:hAnsi="Arial" w:cs="Arial"/>
          <w:color w:val="auto"/>
          <w:spacing w:val="-5"/>
          <w:sz w:val="22"/>
          <w:szCs w:val="22"/>
          <w:lang w:val="pl-PL"/>
        </w:rPr>
        <w:t>ę z</w:t>
      </w:r>
      <w:r w:rsidR="008F191A" w:rsidRPr="004F74DE">
        <w:rPr>
          <w:rFonts w:ascii="Arial" w:hAnsi="Arial" w:cs="Arial"/>
          <w:color w:val="auto"/>
          <w:spacing w:val="-5"/>
          <w:sz w:val="22"/>
          <w:szCs w:val="22"/>
          <w:lang w:val="pl-PL"/>
        </w:rPr>
        <w:t> </w:t>
      </w:r>
      <w:r w:rsidR="001F0ABF" w:rsidRPr="004F74DE">
        <w:rPr>
          <w:rFonts w:ascii="Arial" w:hAnsi="Arial" w:cs="Arial"/>
          <w:color w:val="auto"/>
          <w:spacing w:val="-5"/>
          <w:sz w:val="22"/>
          <w:szCs w:val="22"/>
          <w:lang w:val="pl-PL"/>
        </w:rPr>
        <w:t>24.10.2022 r.</w:t>
      </w:r>
      <w:r w:rsidR="00D13B63" w:rsidRPr="004F74DE">
        <w:rPr>
          <w:rFonts w:ascii="Arial" w:hAnsi="Arial" w:cs="Arial"/>
          <w:color w:val="auto"/>
          <w:spacing w:val="-5"/>
          <w:sz w:val="22"/>
          <w:szCs w:val="22"/>
          <w:lang w:val="pl-PL"/>
        </w:rPr>
        <w:t xml:space="preserve"> </w:t>
      </w:r>
      <w:r w:rsidR="001F0ABF" w:rsidRPr="004F74DE">
        <w:rPr>
          <w:rFonts w:ascii="Arial" w:hAnsi="Arial" w:cs="Arial"/>
          <w:color w:val="auto"/>
          <w:spacing w:val="-5"/>
          <w:sz w:val="22"/>
          <w:szCs w:val="22"/>
          <w:lang w:val="pl-PL"/>
        </w:rPr>
        <w:t xml:space="preserve">nr </w:t>
      </w:r>
      <w:r w:rsidR="00D13B63" w:rsidRPr="004F74DE">
        <w:rPr>
          <w:rFonts w:ascii="Arial" w:hAnsi="Arial" w:cs="Arial"/>
          <w:color w:val="auto"/>
          <w:spacing w:val="-5"/>
          <w:sz w:val="22"/>
          <w:szCs w:val="22"/>
          <w:lang w:val="pl-PL"/>
        </w:rPr>
        <w:t xml:space="preserve">D/DO/0744499/22 na kwotę </w:t>
      </w:r>
      <w:r w:rsidR="00442781" w:rsidRPr="004F74DE">
        <w:rPr>
          <w:rFonts w:ascii="Arial" w:hAnsi="Arial" w:cs="Arial"/>
          <w:color w:val="auto"/>
          <w:spacing w:val="-5"/>
          <w:sz w:val="22"/>
          <w:szCs w:val="22"/>
          <w:lang w:val="pl-PL"/>
        </w:rPr>
        <w:t>49,58 zł</w:t>
      </w:r>
      <w:r w:rsidR="001F0ABF" w:rsidRPr="004F74DE">
        <w:rPr>
          <w:rFonts w:ascii="Arial" w:hAnsi="Arial" w:cs="Arial"/>
          <w:color w:val="auto"/>
          <w:spacing w:val="-5"/>
          <w:sz w:val="22"/>
          <w:szCs w:val="22"/>
          <w:lang w:val="pl-PL"/>
        </w:rPr>
        <w:t xml:space="preserve"> oraz faktury z 3.11.2022 r. z datą sprzedaży – 11/2022, tj.: nr</w:t>
      </w:r>
      <w:r w:rsidR="00442781" w:rsidRPr="004F74DE">
        <w:rPr>
          <w:rFonts w:ascii="Arial" w:hAnsi="Arial" w:cs="Arial"/>
          <w:color w:val="auto"/>
          <w:spacing w:val="-5"/>
          <w:sz w:val="22"/>
          <w:szCs w:val="22"/>
          <w:lang w:val="pl-PL"/>
        </w:rPr>
        <w:t xml:space="preserve"> </w:t>
      </w:r>
      <w:r w:rsidR="00D13B63" w:rsidRPr="004F74DE">
        <w:rPr>
          <w:rFonts w:ascii="Arial" w:hAnsi="Arial" w:cs="Arial"/>
          <w:color w:val="auto"/>
          <w:spacing w:val="-5"/>
          <w:sz w:val="22"/>
          <w:szCs w:val="22"/>
          <w:lang w:val="pl-PL"/>
        </w:rPr>
        <w:t xml:space="preserve">D/DO/0759422/22 na kwotę </w:t>
      </w:r>
      <w:r w:rsidR="00442781" w:rsidRPr="004F74DE">
        <w:rPr>
          <w:rFonts w:ascii="Arial" w:hAnsi="Arial" w:cs="Arial"/>
          <w:color w:val="auto"/>
          <w:spacing w:val="-5"/>
          <w:sz w:val="22"/>
          <w:szCs w:val="22"/>
          <w:lang w:val="pl-PL"/>
        </w:rPr>
        <w:t xml:space="preserve">951,04 zł, </w:t>
      </w:r>
      <w:r w:rsidR="001F0ABF" w:rsidRPr="004F74DE">
        <w:rPr>
          <w:rFonts w:ascii="Arial" w:hAnsi="Arial" w:cs="Arial"/>
          <w:color w:val="auto"/>
          <w:spacing w:val="-5"/>
          <w:sz w:val="22"/>
          <w:szCs w:val="22"/>
          <w:lang w:val="pl-PL"/>
        </w:rPr>
        <w:t xml:space="preserve">nr </w:t>
      </w:r>
      <w:r w:rsidR="00D13B63" w:rsidRPr="004F74DE">
        <w:rPr>
          <w:rFonts w:ascii="Arial" w:hAnsi="Arial" w:cs="Arial"/>
          <w:color w:val="auto"/>
          <w:spacing w:val="-5"/>
          <w:sz w:val="22"/>
          <w:szCs w:val="22"/>
          <w:lang w:val="pl-PL"/>
        </w:rPr>
        <w:t xml:space="preserve">D/DO/0759421/22 na kwotę </w:t>
      </w:r>
      <w:r w:rsidR="00442781" w:rsidRPr="004F74DE">
        <w:rPr>
          <w:rFonts w:ascii="Arial" w:hAnsi="Arial" w:cs="Arial"/>
          <w:color w:val="auto"/>
          <w:spacing w:val="-5"/>
          <w:sz w:val="22"/>
          <w:szCs w:val="22"/>
          <w:lang w:val="pl-PL"/>
        </w:rPr>
        <w:t xml:space="preserve">192,94 zł oraz </w:t>
      </w:r>
      <w:r w:rsidR="001F0ABF" w:rsidRPr="004F74DE">
        <w:rPr>
          <w:rFonts w:ascii="Arial" w:hAnsi="Arial" w:cs="Arial"/>
          <w:color w:val="auto"/>
          <w:spacing w:val="-5"/>
          <w:sz w:val="22"/>
          <w:szCs w:val="22"/>
          <w:lang w:val="pl-PL"/>
        </w:rPr>
        <w:t xml:space="preserve">nr </w:t>
      </w:r>
      <w:r w:rsidR="00D13B63" w:rsidRPr="004F74DE">
        <w:rPr>
          <w:rFonts w:ascii="Arial" w:hAnsi="Arial" w:cs="Arial"/>
          <w:color w:val="auto"/>
          <w:spacing w:val="-5"/>
          <w:sz w:val="22"/>
          <w:szCs w:val="22"/>
          <w:lang w:val="pl-PL"/>
        </w:rPr>
        <w:t xml:space="preserve">D/DO/0759423/22 na kwotę </w:t>
      </w:r>
      <w:r w:rsidR="00442781" w:rsidRPr="004F74DE">
        <w:rPr>
          <w:rFonts w:ascii="Arial" w:hAnsi="Arial" w:cs="Arial"/>
          <w:color w:val="auto"/>
          <w:spacing w:val="-5"/>
          <w:sz w:val="22"/>
          <w:szCs w:val="22"/>
          <w:lang w:val="pl-PL"/>
        </w:rPr>
        <w:t>206,99 zł, których nie wyszczególniono na wskazanych pismach</w:t>
      </w:r>
      <w:r w:rsidR="00D13B63" w:rsidRPr="004F74DE">
        <w:rPr>
          <w:rFonts w:ascii="Arial" w:hAnsi="Arial" w:cs="Arial"/>
          <w:color w:val="auto"/>
          <w:spacing w:val="-5"/>
          <w:sz w:val="22"/>
          <w:szCs w:val="22"/>
          <w:lang w:val="pl-PL"/>
        </w:rPr>
        <w:t xml:space="preserve">. </w:t>
      </w:r>
    </w:p>
    <w:p w14:paraId="6593B487" w14:textId="00341A8A" w:rsidR="000547F7" w:rsidRPr="00F0151C" w:rsidRDefault="00261898" w:rsidP="00D13B63">
      <w:pPr>
        <w:overflowPunct/>
        <w:spacing w:after="0" w:line="360" w:lineRule="auto"/>
        <w:ind w:firstLine="426"/>
        <w:jc w:val="both"/>
        <w:rPr>
          <w:rFonts w:ascii="Arial" w:hAnsi="Arial" w:cs="Arial"/>
          <w:b/>
          <w:bCs/>
          <w:color w:val="auto"/>
          <w:spacing w:val="-2"/>
        </w:rPr>
      </w:pPr>
      <w:r w:rsidRPr="00F0151C">
        <w:rPr>
          <w:rFonts w:ascii="Arial" w:hAnsi="Arial" w:cs="Arial"/>
          <w:color w:val="auto"/>
          <w:spacing w:val="-2"/>
        </w:rPr>
        <w:lastRenderedPageBreak/>
        <w:t xml:space="preserve">Zgodnie z § 4 zarządzenia w sprawie przeprowadzenia inwentaryzacji inwentaryzację pozostałych aktywów i pasywów należało przeprowadzić w drodze uzgodnienia sald na dzień 31 grudnia 2022 r. Wyniki należało przedłożyć Przewodniczącemu Komisji Inwentaryzacyjnej najpóźniej do 31 stycznia 2023 r. Z dokumentacji nie wynika, aby  przeprowadzono inwentaryzację w powyższym zakresie. </w:t>
      </w:r>
      <w:r w:rsidRPr="00F0151C">
        <w:rPr>
          <w:rFonts w:ascii="Arial" w:hAnsi="Arial" w:cs="Arial"/>
          <w:b/>
          <w:bCs/>
          <w:color w:val="auto"/>
          <w:spacing w:val="-2"/>
        </w:rPr>
        <w:t>Należy zauważyć, że wskazane ograniczenie czasowe przeprowadzenia wskazanych działań nie daje możliwości przeprowadzenia weryfikacji sald zgodnie z zapisami ustawy o rachunkowości, tj. weryfikacji sald widniejących w księgach rachunkowych zakładu na dzień bilansowy.</w:t>
      </w:r>
    </w:p>
    <w:p w14:paraId="2BF2851D" w14:textId="45C9BB9C" w:rsidR="00677E8D" w:rsidRPr="004F74DE" w:rsidRDefault="00DE0BC5" w:rsidP="00DE0BC5">
      <w:pPr>
        <w:tabs>
          <w:tab w:val="left" w:pos="426"/>
        </w:tabs>
        <w:spacing w:after="0" w:line="360" w:lineRule="auto"/>
        <w:jc w:val="both"/>
        <w:rPr>
          <w:rFonts w:ascii="Arial" w:hAnsi="Arial" w:cs="Arial"/>
          <w:b/>
          <w:bCs/>
          <w:color w:val="auto"/>
          <w:spacing w:val="-2"/>
        </w:rPr>
      </w:pPr>
      <w:r w:rsidRPr="004F74DE">
        <w:rPr>
          <w:rFonts w:ascii="Arial" w:hAnsi="Arial" w:cs="Arial"/>
          <w:color w:val="auto"/>
          <w:spacing w:val="-2"/>
        </w:rPr>
        <w:tab/>
      </w:r>
      <w:bookmarkStart w:id="23" w:name="_Hlk147305386"/>
      <w:r w:rsidRPr="004F74DE">
        <w:rPr>
          <w:rFonts w:ascii="Arial" w:hAnsi="Arial" w:cs="Arial"/>
          <w:b/>
          <w:bCs/>
          <w:color w:val="auto"/>
          <w:spacing w:val="-2"/>
        </w:rPr>
        <w:t>Przedłożona przez MZBM do kontroli dokumentacja nie potwierdza wypełnieni</w:t>
      </w:r>
      <w:r w:rsidR="00735F8A" w:rsidRPr="004F74DE">
        <w:rPr>
          <w:rFonts w:ascii="Arial" w:hAnsi="Arial" w:cs="Arial"/>
          <w:b/>
          <w:bCs/>
          <w:color w:val="auto"/>
          <w:spacing w:val="-2"/>
        </w:rPr>
        <w:t>a</w:t>
      </w:r>
      <w:r w:rsidRPr="004F74DE">
        <w:rPr>
          <w:rFonts w:ascii="Arial" w:hAnsi="Arial" w:cs="Arial"/>
          <w:b/>
          <w:bCs/>
          <w:color w:val="auto"/>
          <w:spacing w:val="-2"/>
        </w:rPr>
        <w:t xml:space="preserve"> obowiązku wynikającego z art. 26 ust. 1 pkt 3 uor, tj. przeprowadzenia inwentaryzacji drogą porównania danych ksiąg rachunkowych z odpowiednimi dokumentami i</w:t>
      </w:r>
      <w:r w:rsidR="008E2093" w:rsidRPr="004F74DE">
        <w:rPr>
          <w:rFonts w:ascii="Arial" w:hAnsi="Arial" w:cs="Arial"/>
          <w:b/>
          <w:bCs/>
          <w:color w:val="auto"/>
          <w:spacing w:val="-2"/>
        </w:rPr>
        <w:t> </w:t>
      </w:r>
      <w:r w:rsidRPr="004F74DE">
        <w:rPr>
          <w:rFonts w:ascii="Arial" w:hAnsi="Arial" w:cs="Arial"/>
          <w:b/>
          <w:bCs/>
          <w:color w:val="auto"/>
          <w:spacing w:val="-2"/>
        </w:rPr>
        <w:t>weryfikacji wartości tych składników, co winno dotyczyć środków trwałych, do których dostęp jest znacznie utrudniony, gruntów oraz praw zakwalifikowanych do nieruchomości, należności spornych i wątpliwych, należności i zobowiązań wobec osób nieprowadzących ksiąg rachunkowych, z</w:t>
      </w:r>
      <w:r w:rsidR="004F74DE">
        <w:rPr>
          <w:rFonts w:ascii="Arial" w:hAnsi="Arial" w:cs="Arial"/>
          <w:b/>
          <w:bCs/>
          <w:color w:val="auto"/>
          <w:spacing w:val="-2"/>
        </w:rPr>
        <w:t xml:space="preserve"> </w:t>
      </w:r>
      <w:r w:rsidRPr="004F74DE">
        <w:rPr>
          <w:rFonts w:ascii="Arial" w:hAnsi="Arial" w:cs="Arial"/>
          <w:b/>
          <w:bCs/>
          <w:color w:val="auto"/>
          <w:spacing w:val="-2"/>
        </w:rPr>
        <w:t>tytułów publicznoprawnych, a także aktywów i pasywów niewymienionych w pkt 1 i 2 oraz wymienionych w pkt 1 i 2, jeżeli przeprowadzenie ich spisu z natury lub uzgodnienie z przyczyn uzasadnionych nie było możliwe.</w:t>
      </w:r>
    </w:p>
    <w:bookmarkEnd w:id="23"/>
    <w:p w14:paraId="2BEDD088" w14:textId="37A25374" w:rsidR="00DE0BC5" w:rsidRPr="00F0151C" w:rsidRDefault="00D21E72" w:rsidP="00D21E72">
      <w:pPr>
        <w:tabs>
          <w:tab w:val="left" w:pos="426"/>
        </w:tabs>
        <w:spacing w:after="0" w:line="360" w:lineRule="auto"/>
        <w:jc w:val="both"/>
        <w:rPr>
          <w:rFonts w:ascii="Arial" w:hAnsi="Arial" w:cs="Arial"/>
          <w:b/>
          <w:bCs/>
          <w:color w:val="auto"/>
          <w:spacing w:val="-2"/>
        </w:rPr>
      </w:pPr>
      <w:r w:rsidRPr="00F0151C">
        <w:rPr>
          <w:rFonts w:ascii="Arial" w:hAnsi="Arial" w:cs="Arial"/>
          <w:b/>
          <w:bCs/>
          <w:color w:val="auto"/>
          <w:spacing w:val="-2"/>
        </w:rPr>
        <w:tab/>
      </w:r>
      <w:r w:rsidRPr="00F0151C">
        <w:rPr>
          <w:rFonts w:ascii="Arial" w:hAnsi="Arial" w:cs="Arial"/>
          <w:color w:val="auto"/>
          <w:spacing w:val="-2"/>
        </w:rPr>
        <w:t xml:space="preserve">Z dokumentacji wynika, że inwentaryzacji gruntów dokonano w drodze weryfikacji poprzez porównanie wysokości salda konta 011-000 </w:t>
      </w:r>
      <w:r w:rsidRPr="00F0151C">
        <w:rPr>
          <w:rFonts w:ascii="Arial" w:hAnsi="Arial" w:cs="Arial"/>
          <w:i/>
          <w:iCs/>
          <w:color w:val="auto"/>
          <w:spacing w:val="-2"/>
        </w:rPr>
        <w:t>Grunty</w:t>
      </w:r>
      <w:r w:rsidRPr="00F0151C">
        <w:rPr>
          <w:rFonts w:ascii="Arial" w:hAnsi="Arial" w:cs="Arial"/>
          <w:color w:val="auto"/>
          <w:spacing w:val="-2"/>
        </w:rPr>
        <w:t xml:space="preserve"> z księgą inwentarzową</w:t>
      </w:r>
      <w:r w:rsidR="006D2093" w:rsidRPr="00F0151C">
        <w:rPr>
          <w:rFonts w:ascii="Arial" w:hAnsi="Arial" w:cs="Arial"/>
          <w:color w:val="auto"/>
          <w:spacing w:val="-2"/>
        </w:rPr>
        <w:t xml:space="preserve"> oraz uzgodniono obroty – konta 976 z księgowością </w:t>
      </w:r>
      <w:r w:rsidR="00143E36" w:rsidRPr="00F0151C">
        <w:rPr>
          <w:rFonts w:ascii="Arial" w:hAnsi="Arial" w:cs="Arial"/>
          <w:color w:val="auto"/>
          <w:spacing w:val="-2"/>
        </w:rPr>
        <w:t>U</w:t>
      </w:r>
      <w:r w:rsidR="006D2093" w:rsidRPr="00F0151C">
        <w:rPr>
          <w:rFonts w:ascii="Arial" w:hAnsi="Arial" w:cs="Arial"/>
          <w:color w:val="auto"/>
          <w:spacing w:val="-2"/>
        </w:rPr>
        <w:t xml:space="preserve">rzędu </w:t>
      </w:r>
      <w:r w:rsidR="00143E36" w:rsidRPr="00F0151C">
        <w:rPr>
          <w:rFonts w:ascii="Arial" w:hAnsi="Arial" w:cs="Arial"/>
          <w:color w:val="auto"/>
          <w:spacing w:val="-2"/>
        </w:rPr>
        <w:t>M</w:t>
      </w:r>
      <w:r w:rsidR="006D2093" w:rsidRPr="00F0151C">
        <w:rPr>
          <w:rFonts w:ascii="Arial" w:hAnsi="Arial" w:cs="Arial"/>
          <w:color w:val="auto"/>
          <w:spacing w:val="-2"/>
        </w:rPr>
        <w:t xml:space="preserve">iasta </w:t>
      </w:r>
      <w:r w:rsidR="00677E8D" w:rsidRPr="00F0151C">
        <w:rPr>
          <w:rFonts w:ascii="Arial" w:hAnsi="Arial" w:cs="Arial"/>
          <w:color w:val="auto"/>
          <w:spacing w:val="-2"/>
        </w:rPr>
        <w:t>T</w:t>
      </w:r>
      <w:r w:rsidR="006D2093" w:rsidRPr="00F0151C">
        <w:rPr>
          <w:rFonts w:ascii="Arial" w:hAnsi="Arial" w:cs="Arial"/>
          <w:color w:val="auto"/>
          <w:spacing w:val="-2"/>
        </w:rPr>
        <w:t>ychy</w:t>
      </w:r>
      <w:r w:rsidR="00143E36" w:rsidRPr="00F0151C">
        <w:rPr>
          <w:rFonts w:ascii="Arial" w:hAnsi="Arial" w:cs="Arial"/>
          <w:color w:val="auto"/>
          <w:spacing w:val="-2"/>
        </w:rPr>
        <w:t xml:space="preserve">, tj. zgodnie z </w:t>
      </w:r>
      <w:r w:rsidRPr="00F0151C">
        <w:rPr>
          <w:rFonts w:ascii="Arial" w:hAnsi="Arial" w:cs="Arial"/>
          <w:color w:val="auto"/>
          <w:spacing w:val="-2"/>
        </w:rPr>
        <w:t>przepis</w:t>
      </w:r>
      <w:r w:rsidR="00143E36" w:rsidRPr="00F0151C">
        <w:rPr>
          <w:rFonts w:ascii="Arial" w:hAnsi="Arial" w:cs="Arial"/>
          <w:color w:val="auto"/>
          <w:spacing w:val="-2"/>
        </w:rPr>
        <w:t>ami</w:t>
      </w:r>
      <w:r w:rsidRPr="00F0151C">
        <w:rPr>
          <w:rFonts w:ascii="Arial" w:hAnsi="Arial" w:cs="Arial"/>
          <w:color w:val="auto"/>
          <w:spacing w:val="-2"/>
        </w:rPr>
        <w:t xml:space="preserve"> art. 26 ust. 1 pkt 3 ustawy o rachunkowości zobowiązują</w:t>
      </w:r>
      <w:r w:rsidR="00143E36" w:rsidRPr="00F0151C">
        <w:rPr>
          <w:rFonts w:ascii="Arial" w:hAnsi="Arial" w:cs="Arial"/>
          <w:color w:val="auto"/>
          <w:spacing w:val="-2"/>
        </w:rPr>
        <w:t>cym</w:t>
      </w:r>
      <w:r w:rsidRPr="00F0151C">
        <w:rPr>
          <w:rFonts w:ascii="Arial" w:hAnsi="Arial" w:cs="Arial"/>
          <w:color w:val="auto"/>
          <w:spacing w:val="-2"/>
        </w:rPr>
        <w:t xml:space="preserve"> do inwentaryzacji gruntów w drodze porównania danych ksiąg rachunkowych z odpowiednimi dokumentami i weryfikacji wartości tych składników corocznie, wg stanu na dzień bilansowy. Jednocześnie uwzględniając zasady wynikające z § 8 ust 1 rozporządzenie </w:t>
      </w:r>
      <w:r w:rsidR="00D64481" w:rsidRPr="00F0151C">
        <w:rPr>
          <w:rFonts w:ascii="Arial" w:hAnsi="Arial" w:cs="Arial"/>
          <w:color w:val="auto"/>
          <w:spacing w:val="-2"/>
        </w:rPr>
        <w:t>Ministra Rozwoju i Finansów z dnia 13 września 2017</w:t>
      </w:r>
      <w:r w:rsidR="00143E36" w:rsidRPr="00F0151C">
        <w:rPr>
          <w:rFonts w:ascii="Arial" w:hAnsi="Arial" w:cs="Arial"/>
          <w:color w:val="auto"/>
          <w:spacing w:val="-2"/>
        </w:rPr>
        <w:t> </w:t>
      </w:r>
      <w:r w:rsidR="00D64481" w:rsidRPr="00F0151C">
        <w:rPr>
          <w:rFonts w:ascii="Arial" w:hAnsi="Arial" w:cs="Arial"/>
          <w:color w:val="auto"/>
          <w:spacing w:val="-2"/>
        </w:rPr>
        <w:t>r. w sprawie rachunkowości oraz planów kont dla budżetu państwa, budżetów jednostek samorządu terytorialnego, jednostek budżetowych, samorządowych zakładów budżetowych</w:t>
      </w:r>
      <w:r w:rsidR="003D6166" w:rsidRPr="00F0151C">
        <w:rPr>
          <w:rFonts w:ascii="Arial" w:hAnsi="Arial" w:cs="Arial"/>
          <w:color w:val="auto"/>
          <w:spacing w:val="-2"/>
        </w:rPr>
        <w:t xml:space="preserve"> (…) </w:t>
      </w:r>
      <w:r w:rsidRPr="00F0151C">
        <w:rPr>
          <w:rFonts w:ascii="Arial" w:hAnsi="Arial" w:cs="Arial"/>
          <w:color w:val="auto"/>
          <w:spacing w:val="-2"/>
        </w:rPr>
        <w:t>inwentaryzacja nieruchomości powinna zapewnić porównanie danych wynikających z</w:t>
      </w:r>
      <w:r w:rsidR="00143E36" w:rsidRPr="00F0151C">
        <w:rPr>
          <w:rFonts w:ascii="Arial" w:hAnsi="Arial" w:cs="Arial"/>
          <w:color w:val="auto"/>
          <w:spacing w:val="-2"/>
        </w:rPr>
        <w:t> </w:t>
      </w:r>
      <w:r w:rsidRPr="00F0151C">
        <w:rPr>
          <w:rFonts w:ascii="Arial" w:hAnsi="Arial" w:cs="Arial"/>
          <w:color w:val="auto"/>
          <w:spacing w:val="-2"/>
        </w:rPr>
        <w:t>ewidencji księgowej z ewidencją odpowiednio gminnego, powiatowego i</w:t>
      </w:r>
      <w:r w:rsidR="00D64481" w:rsidRPr="00F0151C">
        <w:rPr>
          <w:rFonts w:ascii="Arial" w:hAnsi="Arial" w:cs="Arial"/>
          <w:color w:val="auto"/>
          <w:spacing w:val="-2"/>
        </w:rPr>
        <w:t> </w:t>
      </w:r>
      <w:r w:rsidRPr="00F0151C">
        <w:rPr>
          <w:rFonts w:ascii="Arial" w:hAnsi="Arial" w:cs="Arial"/>
          <w:color w:val="auto"/>
          <w:spacing w:val="-2"/>
        </w:rPr>
        <w:t>wojewódzkiego zasobu nieruchomości.</w:t>
      </w:r>
    </w:p>
    <w:p w14:paraId="5D2879E9" w14:textId="77777777" w:rsidR="001466C7" w:rsidRPr="00F0151C" w:rsidRDefault="001466C7" w:rsidP="00D21E72">
      <w:pPr>
        <w:tabs>
          <w:tab w:val="left" w:pos="426"/>
        </w:tabs>
        <w:spacing w:after="0" w:line="360" w:lineRule="auto"/>
        <w:rPr>
          <w:rFonts w:ascii="Arial" w:hAnsi="Arial" w:cs="Arial"/>
          <w:color w:val="auto"/>
          <w:spacing w:val="-2"/>
        </w:rPr>
      </w:pPr>
    </w:p>
    <w:p w14:paraId="5D65BA76" w14:textId="27429258" w:rsidR="00DE0BC5" w:rsidRPr="00F0151C" w:rsidRDefault="00285E7D" w:rsidP="00285E7D">
      <w:pPr>
        <w:pStyle w:val="Akapitzlist"/>
        <w:numPr>
          <w:ilvl w:val="1"/>
          <w:numId w:val="27"/>
        </w:numPr>
        <w:ind w:left="426" w:hanging="426"/>
        <w:rPr>
          <w:rFonts w:ascii="Arial" w:hAnsi="Arial" w:cs="Arial"/>
          <w:b/>
          <w:color w:val="auto"/>
          <w:spacing w:val="-2"/>
          <w:sz w:val="22"/>
          <w:szCs w:val="22"/>
          <w:lang w:val="pl-PL"/>
        </w:rPr>
      </w:pPr>
      <w:r w:rsidRPr="00F0151C">
        <w:rPr>
          <w:rFonts w:ascii="Arial" w:eastAsia="Times New Roman" w:hAnsi="Arial" w:cs="Arial"/>
          <w:b/>
          <w:color w:val="auto"/>
          <w:spacing w:val="-2"/>
          <w:sz w:val="22"/>
          <w:szCs w:val="22"/>
          <w:lang w:val="pl-PL"/>
        </w:rPr>
        <w:t xml:space="preserve"> </w:t>
      </w:r>
      <w:r w:rsidR="00DE0BC5" w:rsidRPr="00F0151C">
        <w:rPr>
          <w:rFonts w:ascii="Arial" w:eastAsia="Times New Roman" w:hAnsi="Arial" w:cs="Arial"/>
          <w:b/>
          <w:color w:val="auto"/>
          <w:spacing w:val="-2"/>
          <w:sz w:val="22"/>
          <w:szCs w:val="22"/>
          <w:lang w:val="pl-PL"/>
        </w:rPr>
        <w:t>Gospodarka kasowa i druki ścisłego zarachowania</w:t>
      </w:r>
    </w:p>
    <w:p w14:paraId="18E22E48" w14:textId="3860AE0B" w:rsidR="00AD5650" w:rsidRPr="00F0151C" w:rsidRDefault="00DE0BC5" w:rsidP="00DE0BC5">
      <w:pPr>
        <w:tabs>
          <w:tab w:val="left" w:pos="448"/>
        </w:tabs>
        <w:spacing w:after="0" w:line="360" w:lineRule="auto"/>
        <w:jc w:val="both"/>
        <w:rPr>
          <w:rFonts w:ascii="Arial" w:hAnsi="Arial"/>
          <w:color w:val="auto"/>
        </w:rPr>
      </w:pPr>
      <w:r w:rsidRPr="00F0151C">
        <w:rPr>
          <w:rFonts w:ascii="Arial" w:eastAsia="Times New Roman" w:hAnsi="Arial" w:cs="Arial"/>
          <w:b/>
          <w:color w:val="auto"/>
          <w:spacing w:val="-2"/>
        </w:rPr>
        <w:tab/>
      </w:r>
      <w:r w:rsidRPr="00F0151C">
        <w:rPr>
          <w:rFonts w:ascii="Arial" w:eastAsia="Times New Roman" w:hAnsi="Arial" w:cs="Arial"/>
          <w:color w:val="auto"/>
          <w:spacing w:val="-2"/>
        </w:rPr>
        <w:t xml:space="preserve">W toku czynności kontrolnych wyrywkowej weryfikacji poddano dokumentację dotyczącą obrotu gotówkowego zakładu. Zasady gospodarki kasowej MZBM określono w </w:t>
      </w:r>
      <w:r w:rsidRPr="00F0151C">
        <w:rPr>
          <w:rFonts w:ascii="Arial" w:eastAsia="Times New Roman" w:hAnsi="Arial" w:cs="Arial"/>
          <w:i/>
          <w:color w:val="auto"/>
          <w:spacing w:val="-2"/>
        </w:rPr>
        <w:t>Instrukcji gospodarki kasowej</w:t>
      </w:r>
      <w:r w:rsidRPr="00F0151C">
        <w:rPr>
          <w:rFonts w:ascii="Arial" w:eastAsia="Times New Roman" w:hAnsi="Arial" w:cs="Arial"/>
          <w:color w:val="auto"/>
          <w:spacing w:val="-2"/>
        </w:rPr>
        <w:t xml:space="preserve"> obowiązującej od 1.</w:t>
      </w:r>
      <w:r w:rsidR="00230698" w:rsidRPr="00F0151C">
        <w:rPr>
          <w:rFonts w:ascii="Arial" w:eastAsia="Times New Roman" w:hAnsi="Arial" w:cs="Arial"/>
          <w:color w:val="auto"/>
          <w:spacing w:val="-2"/>
        </w:rPr>
        <w:t>01</w:t>
      </w:r>
      <w:r w:rsidRPr="00F0151C">
        <w:rPr>
          <w:rFonts w:ascii="Arial" w:eastAsia="Times New Roman" w:hAnsi="Arial" w:cs="Arial"/>
          <w:color w:val="auto"/>
          <w:spacing w:val="-2"/>
        </w:rPr>
        <w:t>.20</w:t>
      </w:r>
      <w:r w:rsidR="00230698" w:rsidRPr="00F0151C">
        <w:rPr>
          <w:rFonts w:ascii="Arial" w:eastAsia="Times New Roman" w:hAnsi="Arial" w:cs="Arial"/>
          <w:color w:val="auto"/>
          <w:spacing w:val="-2"/>
        </w:rPr>
        <w:t>23</w:t>
      </w:r>
      <w:r w:rsidRPr="00F0151C">
        <w:rPr>
          <w:rFonts w:ascii="Arial" w:eastAsia="Times New Roman" w:hAnsi="Arial" w:cs="Arial"/>
          <w:color w:val="auto"/>
          <w:spacing w:val="-2"/>
        </w:rPr>
        <w:t xml:space="preserve"> r. </w:t>
      </w:r>
      <w:r w:rsidR="00FE6929" w:rsidRPr="00F0151C">
        <w:rPr>
          <w:rFonts w:ascii="Arial" w:hAnsi="Arial"/>
          <w:color w:val="auto"/>
        </w:rPr>
        <w:t xml:space="preserve">W myśl zapisów </w:t>
      </w:r>
      <w:r w:rsidR="00FE6929" w:rsidRPr="00F0151C">
        <w:rPr>
          <w:rFonts w:ascii="Arial" w:hAnsi="Arial" w:cs="Arial"/>
          <w:color w:val="auto"/>
        </w:rPr>
        <w:t>§</w:t>
      </w:r>
      <w:r w:rsidR="00FE6929" w:rsidRPr="00F0151C">
        <w:rPr>
          <w:rFonts w:ascii="Arial" w:hAnsi="Arial"/>
          <w:color w:val="auto"/>
        </w:rPr>
        <w:t xml:space="preserve"> </w:t>
      </w:r>
      <w:r w:rsidR="00004F95" w:rsidRPr="00F0151C">
        <w:rPr>
          <w:rFonts w:ascii="Arial" w:hAnsi="Arial"/>
          <w:color w:val="auto"/>
        </w:rPr>
        <w:t>5</w:t>
      </w:r>
      <w:r w:rsidR="00FE6929" w:rsidRPr="00F0151C">
        <w:rPr>
          <w:rFonts w:ascii="Arial" w:hAnsi="Arial"/>
          <w:color w:val="auto"/>
        </w:rPr>
        <w:t xml:space="preserve"> wskazanej instrukcji, </w:t>
      </w:r>
      <w:r w:rsidR="00004F95" w:rsidRPr="00F0151C">
        <w:rPr>
          <w:rFonts w:ascii="Arial" w:hAnsi="Arial"/>
          <w:color w:val="auto"/>
        </w:rPr>
        <w:t xml:space="preserve">podstawowymi </w:t>
      </w:r>
      <w:r w:rsidR="00FE6929" w:rsidRPr="00F0151C">
        <w:rPr>
          <w:rFonts w:ascii="Arial" w:hAnsi="Arial"/>
          <w:color w:val="auto"/>
        </w:rPr>
        <w:t>dokumentami</w:t>
      </w:r>
      <w:r w:rsidR="00004F95" w:rsidRPr="00F0151C">
        <w:rPr>
          <w:rFonts w:ascii="Arial" w:hAnsi="Arial"/>
          <w:color w:val="auto"/>
        </w:rPr>
        <w:t xml:space="preserve"> kasowymi</w:t>
      </w:r>
      <w:r w:rsidR="00854D2B" w:rsidRPr="00F0151C">
        <w:rPr>
          <w:rFonts w:ascii="Arial" w:hAnsi="Arial"/>
          <w:color w:val="auto"/>
        </w:rPr>
        <w:t xml:space="preserve"> są</w:t>
      </w:r>
      <w:r w:rsidR="00FE6929" w:rsidRPr="00F0151C">
        <w:rPr>
          <w:rFonts w:ascii="Arial" w:hAnsi="Arial"/>
          <w:color w:val="auto"/>
        </w:rPr>
        <w:t>:</w:t>
      </w:r>
    </w:p>
    <w:p w14:paraId="53244E67" w14:textId="51334F66" w:rsidR="00AD5650" w:rsidRPr="00F0151C" w:rsidRDefault="00AD5650" w:rsidP="00384BC5">
      <w:pPr>
        <w:pStyle w:val="Akapitzlist"/>
        <w:numPr>
          <w:ilvl w:val="0"/>
          <w:numId w:val="12"/>
        </w:numPr>
        <w:tabs>
          <w:tab w:val="left" w:pos="448"/>
        </w:tabs>
        <w:ind w:left="426" w:hanging="426"/>
        <w:rPr>
          <w:rFonts w:ascii="Arial" w:eastAsia="Times New Roman" w:hAnsi="Arial" w:cs="Arial"/>
          <w:color w:val="auto"/>
          <w:spacing w:val="-2"/>
          <w:sz w:val="22"/>
          <w:szCs w:val="22"/>
          <w:lang w:val="pl-PL"/>
        </w:rPr>
      </w:pPr>
      <w:r w:rsidRPr="00F0151C">
        <w:rPr>
          <w:rFonts w:ascii="Arial" w:eastAsia="Times New Roman" w:hAnsi="Arial" w:cs="Arial"/>
          <w:color w:val="auto"/>
          <w:spacing w:val="-2"/>
          <w:sz w:val="22"/>
          <w:szCs w:val="22"/>
          <w:lang w:val="pl-PL"/>
        </w:rPr>
        <w:lastRenderedPageBreak/>
        <w:t>dokumenty przychodowe, tj. dowód wpłaty KP oraz bankowe potwierdzenie wypłaty (wystawiane w momencie pobrania gotówki z banku do kasy),</w:t>
      </w:r>
    </w:p>
    <w:p w14:paraId="375CC95A" w14:textId="4DA6F9EB" w:rsidR="00AD5650" w:rsidRPr="00F0151C" w:rsidRDefault="00AD5650" w:rsidP="00384BC5">
      <w:pPr>
        <w:pStyle w:val="Akapitzlist"/>
        <w:numPr>
          <w:ilvl w:val="0"/>
          <w:numId w:val="12"/>
        </w:numPr>
        <w:tabs>
          <w:tab w:val="left" w:pos="448"/>
        </w:tabs>
        <w:ind w:left="426" w:hanging="426"/>
        <w:rPr>
          <w:rFonts w:ascii="Arial" w:eastAsia="Times New Roman" w:hAnsi="Arial" w:cs="Arial"/>
          <w:color w:val="auto"/>
          <w:spacing w:val="-2"/>
          <w:sz w:val="22"/>
          <w:szCs w:val="22"/>
          <w:lang w:val="pl-PL"/>
        </w:rPr>
      </w:pPr>
      <w:r w:rsidRPr="00F0151C">
        <w:rPr>
          <w:rFonts w:ascii="Arial" w:eastAsia="Times New Roman" w:hAnsi="Arial" w:cs="Arial"/>
          <w:color w:val="auto"/>
          <w:spacing w:val="-2"/>
          <w:sz w:val="22"/>
          <w:szCs w:val="22"/>
          <w:lang w:val="pl-PL"/>
        </w:rPr>
        <w:t>dokumenty rozchodowe, tj.: wniosek o zaliczkę, bankowe potwierdzenie wpłaty (wystawiane przez bank w momencie wpłaty gotówki do banku).</w:t>
      </w:r>
    </w:p>
    <w:p w14:paraId="66B8B2D0" w14:textId="1065679B" w:rsidR="00AD5650" w:rsidRPr="00F0151C" w:rsidRDefault="00100CAC" w:rsidP="00100CAC">
      <w:pPr>
        <w:overflowPunct/>
        <w:spacing w:after="0" w:line="360" w:lineRule="auto"/>
        <w:jc w:val="both"/>
        <w:rPr>
          <w:rFonts w:ascii="Arial" w:hAnsi="Arial" w:cs="Arial"/>
          <w:color w:val="auto"/>
        </w:rPr>
      </w:pPr>
      <w:bookmarkStart w:id="24" w:name="_Hlk147307578"/>
      <w:r w:rsidRPr="00F0151C">
        <w:rPr>
          <w:rFonts w:ascii="Arial" w:hAnsi="Arial" w:cs="Arial"/>
          <w:b/>
          <w:color w:val="auto"/>
        </w:rPr>
        <w:t>W związku z powyższym zapisem weryfikacja dokumentacji źródłowej dotyczącej operacji gotówkowych w I kwartale 2023 r. wykazała, że d</w:t>
      </w:r>
      <w:r w:rsidR="00AD5650" w:rsidRPr="00F0151C">
        <w:rPr>
          <w:rFonts w:ascii="Arial" w:hAnsi="Arial" w:cs="Arial"/>
          <w:b/>
          <w:color w:val="auto"/>
        </w:rPr>
        <w:t>o raportów kasowych jako dokument potwierdzający, wypłatę środków z kasy na rachunek bankowy załączano bankowy dowód wpłaty, zamiast dowód KW – kasa wypłaci</w:t>
      </w:r>
      <w:r w:rsidRPr="00F0151C">
        <w:rPr>
          <w:rFonts w:ascii="Arial" w:hAnsi="Arial" w:cs="Arial"/>
          <w:b/>
          <w:color w:val="auto"/>
        </w:rPr>
        <w:t>, a jako dokument potwierdzający wpłatę gotówki pobranej z banku do kasy załączano bankowe potwierdzenie wypłaty, zamiast dowodu KP – kasa przyjmie</w:t>
      </w:r>
      <w:r w:rsidR="00AD5650" w:rsidRPr="00F0151C">
        <w:rPr>
          <w:rFonts w:ascii="Arial" w:hAnsi="Arial" w:cs="Arial"/>
          <w:b/>
          <w:color w:val="auto"/>
        </w:rPr>
        <w:t>.</w:t>
      </w:r>
      <w:r w:rsidR="00AD5650" w:rsidRPr="00F0151C">
        <w:rPr>
          <w:rFonts w:ascii="Arial" w:hAnsi="Arial" w:cs="Arial"/>
          <w:color w:val="auto"/>
        </w:rPr>
        <w:t xml:space="preserve"> </w:t>
      </w:r>
      <w:r w:rsidR="00AD5650" w:rsidRPr="00F0151C">
        <w:rPr>
          <w:rFonts w:ascii="Arial" w:hAnsi="Arial" w:cs="Arial"/>
          <w:b/>
          <w:color w:val="auto"/>
        </w:rPr>
        <w:t>Bankowy dowód wpłaty jest dokumentem wystawionym przez bank i potwierdza operację gospodarczą wpłaty</w:t>
      </w:r>
      <w:r w:rsidRPr="00F0151C">
        <w:rPr>
          <w:rFonts w:ascii="Arial" w:hAnsi="Arial" w:cs="Arial"/>
          <w:b/>
          <w:color w:val="auto"/>
        </w:rPr>
        <w:t>/wypłaty</w:t>
      </w:r>
      <w:r w:rsidR="00AD5650" w:rsidRPr="00F0151C">
        <w:rPr>
          <w:rFonts w:ascii="Arial" w:hAnsi="Arial" w:cs="Arial"/>
          <w:b/>
          <w:color w:val="auto"/>
        </w:rPr>
        <w:t xml:space="preserve"> gotówki do</w:t>
      </w:r>
      <w:r w:rsidRPr="00F0151C">
        <w:rPr>
          <w:rFonts w:ascii="Arial" w:hAnsi="Arial" w:cs="Arial"/>
          <w:b/>
          <w:color w:val="auto"/>
        </w:rPr>
        <w:t>/z</w:t>
      </w:r>
      <w:r w:rsidR="00AD5650" w:rsidRPr="00F0151C">
        <w:rPr>
          <w:rFonts w:ascii="Arial" w:hAnsi="Arial" w:cs="Arial"/>
          <w:b/>
          <w:color w:val="auto"/>
        </w:rPr>
        <w:t xml:space="preserve"> banku, a nie operację gospodarczą polegającą na wypłacie</w:t>
      </w:r>
      <w:r w:rsidRPr="00F0151C">
        <w:rPr>
          <w:rFonts w:ascii="Arial" w:hAnsi="Arial" w:cs="Arial"/>
          <w:b/>
          <w:color w:val="auto"/>
        </w:rPr>
        <w:t>/wpłacie</w:t>
      </w:r>
      <w:r w:rsidR="00AD5650" w:rsidRPr="00F0151C">
        <w:rPr>
          <w:rFonts w:ascii="Arial" w:hAnsi="Arial" w:cs="Arial"/>
          <w:b/>
          <w:color w:val="auto"/>
        </w:rPr>
        <w:t xml:space="preserve"> gotówki </w:t>
      </w:r>
      <w:r w:rsidRPr="00F0151C">
        <w:rPr>
          <w:rFonts w:ascii="Arial" w:hAnsi="Arial" w:cs="Arial"/>
          <w:b/>
          <w:color w:val="auto"/>
        </w:rPr>
        <w:t>do/</w:t>
      </w:r>
      <w:r w:rsidR="00AD5650" w:rsidRPr="00F0151C">
        <w:rPr>
          <w:rFonts w:ascii="Arial" w:hAnsi="Arial" w:cs="Arial"/>
          <w:b/>
          <w:color w:val="auto"/>
        </w:rPr>
        <w:t>z kasy jednostki.</w:t>
      </w:r>
      <w:r w:rsidR="00AD5650" w:rsidRPr="00F0151C">
        <w:rPr>
          <w:rFonts w:ascii="Arial" w:hAnsi="Arial" w:cs="Arial"/>
          <w:color w:val="auto"/>
        </w:rPr>
        <w:t xml:space="preserve"> </w:t>
      </w:r>
    </w:p>
    <w:bookmarkEnd w:id="24"/>
    <w:p w14:paraId="5AF876D5" w14:textId="52A1FAB6" w:rsidR="008411C1" w:rsidRPr="00F0151C" w:rsidRDefault="008411C1" w:rsidP="008411C1">
      <w:pPr>
        <w:tabs>
          <w:tab w:val="left" w:pos="426"/>
        </w:tabs>
        <w:overflowPunct/>
        <w:spacing w:after="0" w:line="360" w:lineRule="auto"/>
        <w:jc w:val="both"/>
        <w:rPr>
          <w:rFonts w:ascii="Arial" w:hAnsi="Arial" w:cs="Arial"/>
          <w:color w:val="auto"/>
        </w:rPr>
      </w:pPr>
      <w:r w:rsidRPr="00F0151C">
        <w:rPr>
          <w:rFonts w:ascii="Arial" w:hAnsi="Arial" w:cs="Arial"/>
          <w:color w:val="auto"/>
        </w:rPr>
        <w:tab/>
        <w:t>Zgodnie z instrukcją raport kasowy służy do udokumentowania operacji kasowych w danym miesiącu, sporządza go pracownik</w:t>
      </w:r>
      <w:r w:rsidR="00DF5411" w:rsidRPr="00F0151C">
        <w:rPr>
          <w:rFonts w:ascii="Arial" w:hAnsi="Arial" w:cs="Arial"/>
          <w:color w:val="auto"/>
        </w:rPr>
        <w:t xml:space="preserve"> działu finansowo księgowego</w:t>
      </w:r>
      <w:r w:rsidRPr="00F0151C">
        <w:rPr>
          <w:rFonts w:ascii="Arial" w:hAnsi="Arial" w:cs="Arial"/>
          <w:color w:val="auto"/>
        </w:rPr>
        <w:t xml:space="preserve"> w systemie komputerowym (Kasa i Banki). Weryfikacji poddano akta osobowe pracownika pełniącego funkcje kasjera stwierdzając brak w nich </w:t>
      </w:r>
      <w:r w:rsidR="00DF5411" w:rsidRPr="00F0151C">
        <w:rPr>
          <w:rFonts w:ascii="Arial" w:hAnsi="Arial" w:cs="Arial"/>
          <w:color w:val="auto"/>
        </w:rPr>
        <w:t>deklaracji</w:t>
      </w:r>
      <w:r w:rsidRPr="00F0151C">
        <w:rPr>
          <w:rFonts w:ascii="Arial" w:hAnsi="Arial" w:cs="Arial"/>
          <w:color w:val="auto"/>
        </w:rPr>
        <w:t xml:space="preserve"> o odpowiedzialności kasjera za powierzone mienie</w:t>
      </w:r>
      <w:r w:rsidR="00DF5411" w:rsidRPr="00F0151C">
        <w:rPr>
          <w:rFonts w:ascii="Arial" w:hAnsi="Arial" w:cs="Arial"/>
          <w:color w:val="auto"/>
        </w:rPr>
        <w:t>, które na dowód przyjęcia odpowiedzialności materialnej winien złożyć</w:t>
      </w:r>
      <w:r w:rsidRPr="00F0151C">
        <w:rPr>
          <w:rFonts w:ascii="Arial" w:hAnsi="Arial" w:cs="Arial"/>
          <w:color w:val="auto"/>
        </w:rPr>
        <w:t>.</w:t>
      </w:r>
      <w:r w:rsidR="00DF5411" w:rsidRPr="00F0151C">
        <w:rPr>
          <w:rFonts w:ascii="Arial" w:hAnsi="Arial" w:cs="Arial"/>
          <w:color w:val="auto"/>
        </w:rPr>
        <w:t xml:space="preserve"> Ponadto wskazanym jest w zapisach instrukcji kasowej zawrzeć zasady przyjmowania kasy i odpowiedzialności kasjera.</w:t>
      </w:r>
    </w:p>
    <w:p w14:paraId="0163586B" w14:textId="35FBF491" w:rsidR="00612756" w:rsidRPr="00F0151C" w:rsidRDefault="008411C1" w:rsidP="009C5EDA">
      <w:pPr>
        <w:tabs>
          <w:tab w:val="left" w:pos="448"/>
        </w:tabs>
        <w:overflowPunct/>
        <w:spacing w:after="0" w:line="360" w:lineRule="auto"/>
        <w:jc w:val="both"/>
        <w:rPr>
          <w:rFonts w:ascii="Arial" w:hAnsi="Arial" w:cs="Arial"/>
          <w:color w:val="auto"/>
        </w:rPr>
      </w:pPr>
      <w:r w:rsidRPr="00F0151C">
        <w:rPr>
          <w:rFonts w:ascii="Arial" w:hAnsi="Arial" w:cs="Arial"/>
          <w:color w:val="auto"/>
        </w:rPr>
        <w:tab/>
        <w:t>Nie stwierdzono nieprawidłowości w zakresie przestrzegania</w:t>
      </w:r>
      <w:r w:rsidR="009C5EDA" w:rsidRPr="00F0151C">
        <w:rPr>
          <w:rFonts w:ascii="Arial" w:hAnsi="Arial" w:cs="Arial"/>
          <w:color w:val="auto"/>
        </w:rPr>
        <w:t xml:space="preserve"> art. 24 uor zgodnie, z którym ujęcie wpłat i wypłat gotówką następuje w tym samym dniu, w którym zostały dokonane oraz art. 40 ustawy o finansach publicznych gdzie ustalono, iż dochody i wydatki księguje się w terminie ich zapłaty</w:t>
      </w:r>
      <w:r w:rsidR="00776721" w:rsidRPr="00F0151C">
        <w:rPr>
          <w:rFonts w:ascii="Arial" w:hAnsi="Arial" w:cs="Arial"/>
          <w:color w:val="auto"/>
        </w:rPr>
        <w:t>.</w:t>
      </w:r>
    </w:p>
    <w:p w14:paraId="0FC71B64" w14:textId="1472C6C3" w:rsidR="00DE0BC5" w:rsidRPr="00F0151C" w:rsidRDefault="00DE0BC5" w:rsidP="009C5EDA">
      <w:pPr>
        <w:pStyle w:val="Akapitzlist"/>
        <w:tabs>
          <w:tab w:val="left" w:pos="426"/>
        </w:tabs>
        <w:ind w:left="0"/>
        <w:rPr>
          <w:rFonts w:ascii="Arial" w:eastAsia="Times New Roman" w:hAnsi="Arial" w:cs="Arial"/>
          <w:color w:val="auto"/>
          <w:spacing w:val="-2"/>
          <w:sz w:val="22"/>
          <w:szCs w:val="22"/>
          <w:lang w:val="pl-PL"/>
        </w:rPr>
      </w:pPr>
      <w:r w:rsidRPr="00F0151C">
        <w:rPr>
          <w:rFonts w:ascii="Arial" w:eastAsia="Times New Roman" w:hAnsi="Arial" w:cs="Arial"/>
          <w:color w:val="auto"/>
          <w:spacing w:val="-2"/>
          <w:sz w:val="22"/>
          <w:szCs w:val="22"/>
          <w:lang w:val="pl-PL"/>
        </w:rPr>
        <w:tab/>
        <w:t xml:space="preserve">W obowiązującej w MZBM </w:t>
      </w:r>
      <w:r w:rsidRPr="00F0151C">
        <w:rPr>
          <w:rFonts w:ascii="Arial" w:eastAsia="Times New Roman" w:hAnsi="Arial" w:cs="Arial"/>
          <w:i/>
          <w:color w:val="auto"/>
          <w:spacing w:val="-2"/>
          <w:sz w:val="22"/>
          <w:szCs w:val="22"/>
          <w:lang w:val="pl-PL"/>
        </w:rPr>
        <w:t>Instrukcji gospodarki kasowej</w:t>
      </w:r>
      <w:r w:rsidRPr="00F0151C">
        <w:rPr>
          <w:rFonts w:ascii="Arial" w:eastAsia="Times New Roman" w:hAnsi="Arial" w:cs="Arial"/>
          <w:color w:val="auto"/>
          <w:spacing w:val="-2"/>
          <w:sz w:val="22"/>
          <w:szCs w:val="22"/>
          <w:lang w:val="pl-PL"/>
        </w:rPr>
        <w:t xml:space="preserve"> określono, iż na ostatni dzień każdego roku należy przeprowadzić inwentaryzację kasy. Do kontroli przedłożono protokoły z inwentaryzacji kasy przeprowadzonej na koniec 20</w:t>
      </w:r>
      <w:r w:rsidR="009C5EDA" w:rsidRPr="00F0151C">
        <w:rPr>
          <w:rFonts w:ascii="Arial" w:eastAsia="Times New Roman" w:hAnsi="Arial" w:cs="Arial"/>
          <w:color w:val="auto"/>
          <w:spacing w:val="-2"/>
          <w:sz w:val="22"/>
          <w:szCs w:val="22"/>
          <w:lang w:val="pl-PL"/>
        </w:rPr>
        <w:t>22</w:t>
      </w:r>
      <w:r w:rsidRPr="00F0151C">
        <w:rPr>
          <w:rFonts w:ascii="Arial" w:eastAsia="Times New Roman" w:hAnsi="Arial" w:cs="Arial"/>
          <w:color w:val="auto"/>
          <w:spacing w:val="-2"/>
          <w:sz w:val="22"/>
          <w:szCs w:val="22"/>
          <w:lang w:val="pl-PL"/>
        </w:rPr>
        <w:t xml:space="preserve"> r. W </w:t>
      </w:r>
      <w:r w:rsidR="009C5EDA" w:rsidRPr="00F0151C">
        <w:rPr>
          <w:rFonts w:ascii="Arial" w:eastAsia="Times New Roman" w:hAnsi="Arial" w:cs="Arial"/>
          <w:color w:val="auto"/>
          <w:spacing w:val="-2"/>
          <w:sz w:val="22"/>
          <w:szCs w:val="22"/>
          <w:lang w:val="pl-PL"/>
        </w:rPr>
        <w:t>wyniku inwentaryzacji kasy</w:t>
      </w:r>
      <w:r w:rsidRPr="00F0151C">
        <w:rPr>
          <w:rFonts w:ascii="Arial" w:eastAsia="Times New Roman" w:hAnsi="Arial" w:cs="Arial"/>
          <w:color w:val="auto"/>
          <w:spacing w:val="-2"/>
          <w:sz w:val="22"/>
          <w:szCs w:val="22"/>
          <w:lang w:val="pl-PL"/>
        </w:rPr>
        <w:t xml:space="preserve"> stwierdzono zerowy stan gotówki w kasie, który został potwierdzony z ewidencją prowadzoną w raportach kasowych. W zakresie powyższych czynności nie stwierdzono nieprawidłowości.</w:t>
      </w:r>
    </w:p>
    <w:p w14:paraId="6472828C" w14:textId="3D914F75" w:rsidR="00DE0BC5" w:rsidRPr="00F0151C" w:rsidRDefault="00DE0BC5" w:rsidP="009C5EDA">
      <w:pPr>
        <w:spacing w:after="0" w:line="360" w:lineRule="auto"/>
        <w:ind w:firstLine="448"/>
        <w:jc w:val="both"/>
        <w:rPr>
          <w:rFonts w:ascii="Arial" w:eastAsia="Times New Roman" w:hAnsi="Arial" w:cs="Arial"/>
          <w:color w:val="auto"/>
          <w:spacing w:val="-2"/>
        </w:rPr>
      </w:pPr>
      <w:r w:rsidRPr="00F0151C">
        <w:rPr>
          <w:rFonts w:ascii="Arial" w:eastAsia="Times New Roman" w:hAnsi="Arial" w:cs="Arial"/>
          <w:color w:val="auto"/>
          <w:spacing w:val="-2"/>
        </w:rPr>
        <w:t xml:space="preserve">W myśl zapisów obowiązującej </w:t>
      </w:r>
      <w:r w:rsidRPr="00F0151C">
        <w:rPr>
          <w:rFonts w:ascii="Arial" w:eastAsia="Times New Roman" w:hAnsi="Arial" w:cs="Arial"/>
          <w:i/>
          <w:color w:val="auto"/>
          <w:spacing w:val="-2"/>
        </w:rPr>
        <w:t>Instrukcji dotyczącej ewidencji i numeracji druków ścisłego zarachowania</w:t>
      </w:r>
      <w:r w:rsidRPr="00F0151C">
        <w:rPr>
          <w:rFonts w:ascii="Arial" w:eastAsia="Times New Roman" w:hAnsi="Arial" w:cs="Arial"/>
          <w:color w:val="auto"/>
          <w:spacing w:val="-2"/>
        </w:rPr>
        <w:t xml:space="preserve"> zakład dysponuje następującymi drukami ścisłego zarachowania: </w:t>
      </w:r>
      <w:r w:rsidRPr="00F0151C">
        <w:rPr>
          <w:rFonts w:ascii="Arial" w:hAnsi="Arial" w:cs="Arial"/>
          <w:color w:val="auto"/>
        </w:rPr>
        <w:t>KP - dowód wpłaty,</w:t>
      </w:r>
      <w:r w:rsidRPr="00F0151C">
        <w:rPr>
          <w:rFonts w:ascii="Arial" w:eastAsia="Times New Roman" w:hAnsi="Arial" w:cs="Arial"/>
          <w:color w:val="auto"/>
          <w:spacing w:val="-2"/>
        </w:rPr>
        <w:t xml:space="preserve"> </w:t>
      </w:r>
      <w:r w:rsidRPr="00F0151C">
        <w:rPr>
          <w:rFonts w:ascii="Arial" w:hAnsi="Arial" w:cs="Arial"/>
          <w:color w:val="auto"/>
        </w:rPr>
        <w:t>KW - dowód wypłaty,</w:t>
      </w:r>
      <w:r w:rsidRPr="00F0151C">
        <w:rPr>
          <w:rFonts w:ascii="Arial" w:eastAsia="Times New Roman" w:hAnsi="Arial" w:cs="Arial"/>
          <w:color w:val="auto"/>
          <w:spacing w:val="-2"/>
        </w:rPr>
        <w:t xml:space="preserve"> </w:t>
      </w:r>
      <w:r w:rsidRPr="00F0151C">
        <w:rPr>
          <w:rFonts w:ascii="Arial" w:hAnsi="Arial" w:cs="Arial"/>
          <w:color w:val="auto"/>
          <w:spacing w:val="-2"/>
        </w:rPr>
        <w:t>arkusze spisu z natury.</w:t>
      </w:r>
    </w:p>
    <w:p w14:paraId="672D050C" w14:textId="404510FA" w:rsidR="005732C5" w:rsidRPr="00F0151C" w:rsidRDefault="00F543FA" w:rsidP="009C5EDA">
      <w:pPr>
        <w:spacing w:after="0" w:line="360" w:lineRule="auto"/>
        <w:jc w:val="both"/>
        <w:rPr>
          <w:rFonts w:ascii="Arial" w:hAnsi="Arial" w:cs="Arial"/>
          <w:color w:val="auto"/>
        </w:rPr>
      </w:pPr>
      <w:r w:rsidRPr="00F0151C">
        <w:rPr>
          <w:rFonts w:ascii="Arial" w:hAnsi="Arial" w:cs="Arial"/>
          <w:color w:val="auto"/>
        </w:rPr>
        <w:t xml:space="preserve">Zgodnie z instrukcją </w:t>
      </w:r>
      <w:r w:rsidR="005732C5" w:rsidRPr="00F0151C">
        <w:rPr>
          <w:rFonts w:ascii="Arial" w:hAnsi="Arial" w:cs="Arial"/>
          <w:color w:val="auto"/>
        </w:rPr>
        <w:t>ewidencja druków polega na:</w:t>
      </w:r>
    </w:p>
    <w:p w14:paraId="2CE192B3" w14:textId="4757FA81" w:rsidR="005732C5" w:rsidRPr="00F0151C" w:rsidRDefault="005732C5" w:rsidP="00384BC5">
      <w:pPr>
        <w:pStyle w:val="Akapitzlist"/>
        <w:numPr>
          <w:ilvl w:val="0"/>
          <w:numId w:val="16"/>
        </w:numPr>
        <w:ind w:left="426" w:hanging="426"/>
        <w:rPr>
          <w:rFonts w:ascii="Arial" w:hAnsi="Arial" w:cs="Arial"/>
          <w:color w:val="auto"/>
          <w:spacing w:val="-2"/>
          <w:lang w:val="pl-PL"/>
        </w:rPr>
      </w:pPr>
      <w:r w:rsidRPr="00F0151C">
        <w:rPr>
          <w:rFonts w:ascii="Arial" w:hAnsi="Arial" w:cs="Arial"/>
          <w:color w:val="auto"/>
          <w:sz w:val="22"/>
          <w:szCs w:val="22"/>
          <w:lang w:val="pl-PL"/>
        </w:rPr>
        <w:t>przyjęciu druków ścisłego zarachowania w momencie ich otrzymania, sprawdzeniu zgodności z dokumentami dostawy,</w:t>
      </w:r>
    </w:p>
    <w:p w14:paraId="53C45725" w14:textId="34E7B987" w:rsidR="005732C5" w:rsidRPr="00F0151C" w:rsidRDefault="005732C5" w:rsidP="00384BC5">
      <w:pPr>
        <w:pStyle w:val="Akapitzlist"/>
        <w:numPr>
          <w:ilvl w:val="0"/>
          <w:numId w:val="16"/>
        </w:numPr>
        <w:ind w:left="426" w:hanging="426"/>
        <w:rPr>
          <w:rFonts w:ascii="Arial" w:hAnsi="Arial" w:cs="Arial"/>
          <w:color w:val="auto"/>
          <w:spacing w:val="-2"/>
          <w:sz w:val="22"/>
          <w:szCs w:val="22"/>
          <w:lang w:val="pl-PL"/>
        </w:rPr>
      </w:pPr>
      <w:r w:rsidRPr="00F0151C">
        <w:rPr>
          <w:rFonts w:ascii="Arial" w:hAnsi="Arial" w:cs="Arial"/>
          <w:color w:val="auto"/>
          <w:sz w:val="22"/>
          <w:szCs w:val="22"/>
          <w:lang w:val="pl-PL"/>
        </w:rPr>
        <w:t xml:space="preserve">bieżącym wpisywaniu przychodu, rozchodu i zapasów druków w specjalnie do tego </w:t>
      </w:r>
      <w:r w:rsidRPr="00F0151C">
        <w:rPr>
          <w:rFonts w:ascii="Arial" w:hAnsi="Arial" w:cs="Arial"/>
          <w:color w:val="auto"/>
          <w:sz w:val="22"/>
          <w:szCs w:val="22"/>
          <w:lang w:val="pl-PL"/>
        </w:rPr>
        <w:lastRenderedPageBreak/>
        <w:t>przeznaczonej księdze,</w:t>
      </w:r>
    </w:p>
    <w:p w14:paraId="54C1A2CF" w14:textId="6BC4921A" w:rsidR="005732C5" w:rsidRPr="00F0151C" w:rsidRDefault="005732C5" w:rsidP="00384BC5">
      <w:pPr>
        <w:pStyle w:val="Akapitzlist"/>
        <w:numPr>
          <w:ilvl w:val="0"/>
          <w:numId w:val="16"/>
        </w:numPr>
        <w:ind w:left="426" w:hanging="426"/>
        <w:rPr>
          <w:rFonts w:ascii="Arial" w:hAnsi="Arial" w:cs="Arial"/>
          <w:color w:val="auto"/>
          <w:spacing w:val="-2"/>
          <w:sz w:val="22"/>
          <w:szCs w:val="22"/>
          <w:lang w:val="pl-PL"/>
        </w:rPr>
      </w:pPr>
      <w:r w:rsidRPr="00F0151C">
        <w:rPr>
          <w:rFonts w:ascii="Arial" w:hAnsi="Arial" w:cs="Arial"/>
          <w:color w:val="auto"/>
          <w:spacing w:val="-2"/>
          <w:sz w:val="22"/>
          <w:szCs w:val="22"/>
          <w:lang w:val="pl-PL"/>
        </w:rPr>
        <w:t>oznaczenie numerem ewidencyjnym druków nie posiadających serii i numerów nadanych przez drukarnię.</w:t>
      </w:r>
    </w:p>
    <w:p w14:paraId="76E28252" w14:textId="1C3D33EB" w:rsidR="005732C5" w:rsidRPr="00F0151C" w:rsidRDefault="005732C5" w:rsidP="009C5EDA">
      <w:pPr>
        <w:pStyle w:val="Akapitzlist"/>
        <w:ind w:left="0"/>
        <w:rPr>
          <w:rFonts w:ascii="Arial" w:hAnsi="Arial" w:cs="Arial"/>
          <w:color w:val="auto"/>
          <w:spacing w:val="-2"/>
          <w:sz w:val="22"/>
          <w:szCs w:val="22"/>
          <w:lang w:val="pl-PL"/>
        </w:rPr>
      </w:pPr>
      <w:r w:rsidRPr="00F0151C">
        <w:rPr>
          <w:rFonts w:ascii="Arial" w:hAnsi="Arial" w:cs="Arial"/>
          <w:color w:val="auto"/>
          <w:spacing w:val="-2"/>
          <w:sz w:val="22"/>
          <w:szCs w:val="22"/>
          <w:lang w:val="pl-PL"/>
        </w:rPr>
        <w:t>Oznaczenie druków ścisłego zarachowania, które nie posiadają nadanych przez drukarnię serii i numerów dokonuje się w sposób taki, że: każdy egzemplarz druku oznacza się zastrzeżon</w:t>
      </w:r>
      <w:r w:rsidR="00A8042C" w:rsidRPr="00F0151C">
        <w:rPr>
          <w:rFonts w:ascii="Arial" w:hAnsi="Arial" w:cs="Arial"/>
          <w:color w:val="auto"/>
          <w:spacing w:val="-2"/>
          <w:sz w:val="22"/>
          <w:szCs w:val="22"/>
          <w:lang w:val="pl-PL"/>
        </w:rPr>
        <w:t>ą</w:t>
      </w:r>
      <w:r w:rsidRPr="00F0151C">
        <w:rPr>
          <w:rFonts w:ascii="Arial" w:hAnsi="Arial" w:cs="Arial"/>
          <w:color w:val="auto"/>
          <w:spacing w:val="-2"/>
          <w:sz w:val="22"/>
          <w:szCs w:val="22"/>
          <w:lang w:val="pl-PL"/>
        </w:rPr>
        <w:t xml:space="preserve"> pieczątką według wzoru „Druk ścisłego zarachowania – MZBM Tychy”, każdy egzemplarz należy oznaczyć numerem ewidencyjnym.</w:t>
      </w:r>
    </w:p>
    <w:p w14:paraId="74498428" w14:textId="3980D5EA" w:rsidR="000F5F29" w:rsidRPr="00F0151C" w:rsidRDefault="005732C5" w:rsidP="009C5EDA">
      <w:pPr>
        <w:spacing w:after="0" w:line="360" w:lineRule="auto"/>
        <w:jc w:val="both"/>
        <w:rPr>
          <w:rFonts w:ascii="Arial" w:hAnsi="Arial" w:cs="Arial"/>
          <w:bCs/>
          <w:color w:val="auto"/>
          <w:spacing w:val="-2"/>
        </w:rPr>
      </w:pPr>
      <w:r w:rsidRPr="00F0151C">
        <w:rPr>
          <w:rFonts w:ascii="Arial" w:hAnsi="Arial" w:cs="Arial"/>
          <w:color w:val="auto"/>
          <w:spacing w:val="-2"/>
        </w:rPr>
        <w:t>W zakładzie ewidencję druków prowadzi się odrębnie dla każdego rodzaju druku w księdze o ponumerowanych stronach, przesznurowanej i zalakowanej</w:t>
      </w:r>
      <w:r w:rsidR="007D004E" w:rsidRPr="00F0151C">
        <w:rPr>
          <w:rFonts w:ascii="Arial" w:hAnsi="Arial" w:cs="Arial"/>
          <w:color w:val="auto"/>
          <w:spacing w:val="-2"/>
        </w:rPr>
        <w:t>.</w:t>
      </w:r>
      <w:r w:rsidRPr="00F0151C">
        <w:rPr>
          <w:rFonts w:ascii="Arial" w:hAnsi="Arial" w:cs="Arial"/>
          <w:color w:val="auto"/>
          <w:spacing w:val="-2"/>
        </w:rPr>
        <w:t xml:space="preserve"> </w:t>
      </w:r>
      <w:r w:rsidR="00AC640B" w:rsidRPr="00F0151C">
        <w:rPr>
          <w:rFonts w:ascii="Arial" w:hAnsi="Arial" w:cs="Arial"/>
          <w:color w:val="auto"/>
          <w:spacing w:val="-2"/>
        </w:rPr>
        <w:t>W</w:t>
      </w:r>
      <w:r w:rsidR="00DE0BC5" w:rsidRPr="00F0151C">
        <w:rPr>
          <w:rFonts w:ascii="Arial" w:hAnsi="Arial" w:cs="Arial"/>
          <w:color w:val="auto"/>
          <w:spacing w:val="-2"/>
        </w:rPr>
        <w:t>yrywkowej kontroli poddano księgi ewidencyjne druków KP</w:t>
      </w:r>
      <w:r w:rsidR="007D004E" w:rsidRPr="00F0151C">
        <w:rPr>
          <w:rFonts w:ascii="Arial" w:hAnsi="Arial" w:cs="Arial"/>
          <w:color w:val="auto"/>
          <w:spacing w:val="-2"/>
        </w:rPr>
        <w:t xml:space="preserve"> założoną 31.12.2010 r.</w:t>
      </w:r>
      <w:r w:rsidR="00DE0BC5" w:rsidRPr="00F0151C">
        <w:rPr>
          <w:rFonts w:ascii="Arial" w:hAnsi="Arial" w:cs="Arial"/>
          <w:color w:val="auto"/>
          <w:spacing w:val="-2"/>
        </w:rPr>
        <w:t xml:space="preserve">, KW </w:t>
      </w:r>
      <w:r w:rsidR="007D004E" w:rsidRPr="00F0151C">
        <w:rPr>
          <w:rFonts w:ascii="Arial" w:hAnsi="Arial" w:cs="Arial"/>
          <w:color w:val="auto"/>
          <w:spacing w:val="-2"/>
        </w:rPr>
        <w:t xml:space="preserve">założoną  31.12.1993 r., </w:t>
      </w:r>
      <w:r w:rsidR="00DE0BC5" w:rsidRPr="00F0151C">
        <w:rPr>
          <w:rFonts w:ascii="Arial" w:hAnsi="Arial" w:cs="Arial"/>
          <w:color w:val="auto"/>
          <w:spacing w:val="-2"/>
        </w:rPr>
        <w:t>oraz arkuszy spisu z natury</w:t>
      </w:r>
      <w:r w:rsidR="007D004E" w:rsidRPr="00F0151C">
        <w:rPr>
          <w:rFonts w:ascii="Arial" w:hAnsi="Arial" w:cs="Arial"/>
          <w:color w:val="auto"/>
          <w:spacing w:val="-2"/>
        </w:rPr>
        <w:t xml:space="preserve"> założoną 1.01.1995 r.</w:t>
      </w:r>
      <w:r w:rsidR="00DE0BC5" w:rsidRPr="00F0151C">
        <w:rPr>
          <w:rFonts w:ascii="Arial" w:hAnsi="Arial" w:cs="Arial"/>
          <w:color w:val="auto"/>
          <w:spacing w:val="-2"/>
        </w:rPr>
        <w:t xml:space="preserve"> W zakresie zgodności prowadzonych w nich zapisów stwierdzono, iż </w:t>
      </w:r>
      <w:r w:rsidR="00DE0BC5" w:rsidRPr="00F0151C">
        <w:rPr>
          <w:rFonts w:ascii="Arial" w:hAnsi="Arial" w:cs="Arial"/>
          <w:bCs/>
          <w:color w:val="auto"/>
          <w:spacing w:val="-2"/>
        </w:rPr>
        <w:t>przedłożone do kontroli księgi są prowadzone zgodnie z przyjętym</w:t>
      </w:r>
      <w:r w:rsidR="007D004E" w:rsidRPr="00F0151C">
        <w:rPr>
          <w:rFonts w:ascii="Arial" w:hAnsi="Arial" w:cs="Arial"/>
          <w:bCs/>
          <w:color w:val="auto"/>
          <w:spacing w:val="-2"/>
        </w:rPr>
        <w:t>i zasadami</w:t>
      </w:r>
      <w:r w:rsidR="00AC640B" w:rsidRPr="00F0151C">
        <w:rPr>
          <w:rFonts w:ascii="Arial" w:hAnsi="Arial" w:cs="Arial"/>
          <w:bCs/>
          <w:color w:val="auto"/>
          <w:spacing w:val="-2"/>
        </w:rPr>
        <w:t xml:space="preserve">. </w:t>
      </w:r>
      <w:r w:rsidR="00A47EBA" w:rsidRPr="00F0151C">
        <w:rPr>
          <w:rFonts w:ascii="Arial" w:hAnsi="Arial" w:cs="Arial"/>
          <w:bCs/>
          <w:color w:val="auto"/>
          <w:spacing w:val="-2"/>
        </w:rPr>
        <w:t>Przedłożone do kontroli b</w:t>
      </w:r>
      <w:r w:rsidR="000F5F29" w:rsidRPr="00F0151C">
        <w:rPr>
          <w:rFonts w:ascii="Arial" w:hAnsi="Arial" w:cs="Arial"/>
          <w:bCs/>
          <w:color w:val="auto"/>
          <w:spacing w:val="-2"/>
        </w:rPr>
        <w:t xml:space="preserve">loczki druków KP </w:t>
      </w:r>
      <w:r w:rsidR="00A47EBA" w:rsidRPr="00F0151C">
        <w:rPr>
          <w:rFonts w:ascii="Arial" w:hAnsi="Arial" w:cs="Arial"/>
          <w:bCs/>
          <w:color w:val="auto"/>
          <w:spacing w:val="-2"/>
        </w:rPr>
        <w:t>były</w:t>
      </w:r>
      <w:r w:rsidR="000F5F29" w:rsidRPr="00F0151C">
        <w:rPr>
          <w:rFonts w:ascii="Arial" w:hAnsi="Arial" w:cs="Arial"/>
          <w:bCs/>
          <w:color w:val="auto"/>
          <w:spacing w:val="-2"/>
        </w:rPr>
        <w:t xml:space="preserve"> opisane zgodnie z </w:t>
      </w:r>
      <w:r w:rsidR="009C5EDA" w:rsidRPr="00F0151C">
        <w:rPr>
          <w:rFonts w:ascii="Arial" w:hAnsi="Arial" w:cs="Arial"/>
          <w:bCs/>
          <w:color w:val="auto"/>
          <w:spacing w:val="-2"/>
        </w:rPr>
        <w:t xml:space="preserve">obowiązującymi </w:t>
      </w:r>
      <w:r w:rsidR="000F5F29" w:rsidRPr="00F0151C">
        <w:rPr>
          <w:rFonts w:ascii="Arial" w:hAnsi="Arial" w:cs="Arial"/>
          <w:bCs/>
          <w:color w:val="auto"/>
          <w:spacing w:val="-2"/>
        </w:rPr>
        <w:t>zasadami</w:t>
      </w:r>
      <w:r w:rsidR="009C5EDA" w:rsidRPr="00F0151C">
        <w:rPr>
          <w:rFonts w:ascii="Arial" w:hAnsi="Arial" w:cs="Arial"/>
          <w:bCs/>
          <w:color w:val="auto"/>
          <w:spacing w:val="-2"/>
        </w:rPr>
        <w:t>.</w:t>
      </w:r>
      <w:r w:rsidR="000F5F29" w:rsidRPr="00F0151C">
        <w:rPr>
          <w:rFonts w:ascii="Arial" w:hAnsi="Arial" w:cs="Arial"/>
          <w:bCs/>
          <w:color w:val="auto"/>
          <w:spacing w:val="-2"/>
        </w:rPr>
        <w:t xml:space="preserve"> </w:t>
      </w:r>
    </w:p>
    <w:p w14:paraId="76E7CE0E" w14:textId="6B5ADE4A" w:rsidR="00DE0BC5" w:rsidRPr="00F0151C" w:rsidRDefault="00A8042C" w:rsidP="00DE0BC5">
      <w:pPr>
        <w:spacing w:after="0" w:line="360" w:lineRule="auto"/>
        <w:jc w:val="both"/>
        <w:rPr>
          <w:rFonts w:ascii="Arial" w:hAnsi="Arial" w:cs="Arial"/>
          <w:bCs/>
          <w:color w:val="auto"/>
          <w:spacing w:val="-2"/>
        </w:rPr>
      </w:pPr>
      <w:r w:rsidRPr="00F0151C">
        <w:rPr>
          <w:rFonts w:ascii="Arial" w:hAnsi="Arial" w:cs="Arial"/>
          <w:bCs/>
          <w:color w:val="auto"/>
          <w:spacing w:val="-2"/>
        </w:rPr>
        <w:t>Zgodnie z ww. instrukcją osobą odpowiedzialną za prawidłową ewidencję druków ścisłego zarachowania jest wyznaczony pracownik Działu Pracowniczo – Administracyjnego (DPA), który podpisuje oświadczenie o przyjęciu i prowadzeniu gospodarki drukami ścisłego zarachowania zgodnie z obowiązującymi przepisami. Weryfikacji poddano akta pracownika, w którym znajdowało się podpisane oświadczenie.</w:t>
      </w:r>
    </w:p>
    <w:p w14:paraId="74482FFD" w14:textId="77777777" w:rsidR="00375221" w:rsidRPr="00F0151C" w:rsidRDefault="00375221" w:rsidP="00DE0BC5">
      <w:pPr>
        <w:spacing w:after="0" w:line="360" w:lineRule="auto"/>
        <w:jc w:val="both"/>
        <w:rPr>
          <w:rFonts w:ascii="Arial" w:hAnsi="Arial" w:cs="Arial"/>
          <w:bCs/>
          <w:color w:val="auto"/>
          <w:spacing w:val="-2"/>
        </w:rPr>
      </w:pPr>
    </w:p>
    <w:p w14:paraId="1B49913B" w14:textId="2D7883FB" w:rsidR="00DE0BC5" w:rsidRPr="00F0151C" w:rsidRDefault="00DE0BC5" w:rsidP="00285E7D">
      <w:pPr>
        <w:pStyle w:val="Akapitzlist"/>
        <w:numPr>
          <w:ilvl w:val="1"/>
          <w:numId w:val="27"/>
        </w:numPr>
        <w:ind w:left="-142" w:firstLine="0"/>
        <w:rPr>
          <w:rFonts w:ascii="Arial" w:hAnsi="Arial" w:cs="Arial"/>
          <w:b/>
          <w:color w:val="auto"/>
          <w:sz w:val="22"/>
          <w:szCs w:val="22"/>
          <w:lang w:val="pl-PL"/>
        </w:rPr>
      </w:pPr>
      <w:r w:rsidRPr="00F0151C">
        <w:rPr>
          <w:rFonts w:ascii="Arial" w:hAnsi="Arial" w:cs="Arial"/>
          <w:b/>
          <w:bCs/>
          <w:color w:val="auto"/>
          <w:sz w:val="22"/>
          <w:szCs w:val="22"/>
          <w:lang w:val="pl-PL"/>
        </w:rPr>
        <w:t>Weryfikacja wydatków na ZFŚS, wydatki osobowe oraz podróże służbowe</w:t>
      </w:r>
    </w:p>
    <w:p w14:paraId="5B3B41C8" w14:textId="1CA854A2" w:rsidR="00D70FE5" w:rsidRPr="00F0151C" w:rsidRDefault="003B05C2" w:rsidP="003B05C2">
      <w:pPr>
        <w:pStyle w:val="Akapitzlist"/>
        <w:tabs>
          <w:tab w:val="left" w:pos="-5387"/>
          <w:tab w:val="left" w:pos="602"/>
        </w:tabs>
        <w:ind w:left="0"/>
        <w:rPr>
          <w:rFonts w:ascii="Arial" w:hAnsi="Arial" w:cs="Arial"/>
          <w:bCs/>
          <w:color w:val="auto"/>
          <w:sz w:val="22"/>
          <w:szCs w:val="22"/>
          <w:lang w:val="pl-PL"/>
        </w:rPr>
      </w:pPr>
      <w:r w:rsidRPr="00F0151C">
        <w:rPr>
          <w:rFonts w:ascii="Arial" w:hAnsi="Arial" w:cs="Arial"/>
          <w:bCs/>
          <w:color w:val="auto"/>
          <w:sz w:val="22"/>
          <w:szCs w:val="22"/>
          <w:lang w:val="pl-PL"/>
        </w:rPr>
        <w:tab/>
      </w:r>
      <w:r w:rsidR="00D70FE5" w:rsidRPr="00F0151C">
        <w:rPr>
          <w:rFonts w:ascii="Arial" w:hAnsi="Arial" w:cs="Arial"/>
          <w:bCs/>
          <w:color w:val="auto"/>
          <w:sz w:val="22"/>
          <w:szCs w:val="22"/>
          <w:lang w:val="pl-PL"/>
        </w:rPr>
        <w:t>W celu weryfikacji realizacji wniosków pokontrolnych kontroli poddano:</w:t>
      </w:r>
    </w:p>
    <w:p w14:paraId="73D728A1" w14:textId="28E61089" w:rsidR="00640445" w:rsidRPr="00F0151C" w:rsidRDefault="00640445" w:rsidP="00384BC5">
      <w:pPr>
        <w:pStyle w:val="Akapitzlist"/>
        <w:numPr>
          <w:ilvl w:val="0"/>
          <w:numId w:val="15"/>
        </w:numPr>
        <w:tabs>
          <w:tab w:val="left" w:pos="-5387"/>
          <w:tab w:val="left" w:pos="567"/>
        </w:tabs>
        <w:ind w:left="567" w:hanging="567"/>
        <w:rPr>
          <w:rFonts w:ascii="Arial" w:hAnsi="Arial" w:cs="Arial"/>
          <w:bCs/>
          <w:color w:val="auto"/>
          <w:sz w:val="22"/>
          <w:szCs w:val="22"/>
          <w:lang w:val="pl-PL"/>
        </w:rPr>
      </w:pPr>
      <w:r w:rsidRPr="00F0151C">
        <w:rPr>
          <w:rFonts w:ascii="Arial" w:hAnsi="Arial" w:cs="Arial"/>
          <w:bCs/>
          <w:color w:val="auto"/>
          <w:sz w:val="22"/>
          <w:szCs w:val="22"/>
          <w:lang w:val="pl-PL"/>
        </w:rPr>
        <w:t>ustalenie wartości odpisu podstawowego na Zakładowy Fundusz Świadczeń Socjalnych,</w:t>
      </w:r>
    </w:p>
    <w:p w14:paraId="07FBDAEC" w14:textId="0AEBA889" w:rsidR="00640445" w:rsidRPr="00F0151C" w:rsidRDefault="00640445" w:rsidP="00384BC5">
      <w:pPr>
        <w:pStyle w:val="Akapitzlist"/>
        <w:numPr>
          <w:ilvl w:val="0"/>
          <w:numId w:val="15"/>
        </w:numPr>
        <w:tabs>
          <w:tab w:val="left" w:pos="-5387"/>
          <w:tab w:val="left" w:pos="567"/>
        </w:tabs>
        <w:ind w:left="567" w:hanging="567"/>
        <w:rPr>
          <w:rFonts w:ascii="Arial" w:hAnsi="Arial" w:cs="Arial"/>
          <w:bCs/>
          <w:color w:val="auto"/>
          <w:sz w:val="22"/>
          <w:szCs w:val="22"/>
          <w:lang w:val="pl-PL"/>
        </w:rPr>
      </w:pPr>
      <w:r w:rsidRPr="00F0151C">
        <w:rPr>
          <w:rFonts w:ascii="Arial" w:hAnsi="Arial" w:cs="Arial"/>
          <w:bCs/>
          <w:color w:val="auto"/>
          <w:sz w:val="22"/>
          <w:szCs w:val="22"/>
          <w:lang w:val="pl-PL"/>
        </w:rPr>
        <w:t>wydatki na świadczenia z Zakładowego Funduszu Świadczeń Socjalnych,</w:t>
      </w:r>
    </w:p>
    <w:p w14:paraId="20F340EC" w14:textId="00D283B9" w:rsidR="00640445" w:rsidRPr="00F0151C" w:rsidRDefault="00640445" w:rsidP="00384BC5">
      <w:pPr>
        <w:pStyle w:val="Akapitzlist"/>
        <w:numPr>
          <w:ilvl w:val="0"/>
          <w:numId w:val="15"/>
        </w:numPr>
        <w:tabs>
          <w:tab w:val="left" w:pos="-5387"/>
          <w:tab w:val="left" w:pos="567"/>
        </w:tabs>
        <w:ind w:left="567" w:hanging="567"/>
        <w:rPr>
          <w:rFonts w:ascii="Arial" w:hAnsi="Arial" w:cs="Arial"/>
          <w:bCs/>
          <w:color w:val="auto"/>
          <w:sz w:val="22"/>
          <w:szCs w:val="22"/>
          <w:lang w:val="pl-PL"/>
        </w:rPr>
      </w:pPr>
      <w:r w:rsidRPr="00F0151C">
        <w:rPr>
          <w:rFonts w:ascii="Arial" w:hAnsi="Arial" w:cs="Arial"/>
          <w:bCs/>
          <w:color w:val="auto"/>
          <w:sz w:val="22"/>
          <w:szCs w:val="22"/>
          <w:lang w:val="pl-PL"/>
        </w:rPr>
        <w:t xml:space="preserve">wydatki osobowe </w:t>
      </w:r>
      <w:r w:rsidR="00C52069" w:rsidRPr="00F0151C">
        <w:rPr>
          <w:rFonts w:ascii="Arial" w:hAnsi="Arial" w:cs="Arial"/>
          <w:bCs/>
          <w:color w:val="auto"/>
          <w:sz w:val="22"/>
          <w:szCs w:val="22"/>
          <w:lang w:val="pl-PL"/>
        </w:rPr>
        <w:t xml:space="preserve">dotyczące </w:t>
      </w:r>
      <w:r w:rsidR="00C52069" w:rsidRPr="00F0151C">
        <w:rPr>
          <w:rFonts w:ascii="Arial" w:hAnsi="Arial" w:cs="Arial"/>
          <w:color w:val="auto"/>
          <w:sz w:val="22"/>
          <w:szCs w:val="22"/>
          <w:lang w:val="pl-PL"/>
        </w:rPr>
        <w:t>przydzielania pracownikom środków ochrony indywidualnej, dostarczania odzieży, obuwia roboczego i</w:t>
      </w:r>
      <w:r w:rsidR="00C52069" w:rsidRPr="00F0151C">
        <w:rPr>
          <w:rFonts w:ascii="Arial" w:hAnsi="Arial" w:cs="Arial"/>
          <w:color w:val="auto"/>
          <w:lang w:val="pl-PL"/>
        </w:rPr>
        <w:t> </w:t>
      </w:r>
      <w:r w:rsidR="00C52069" w:rsidRPr="00F0151C">
        <w:rPr>
          <w:rFonts w:ascii="Arial" w:hAnsi="Arial" w:cs="Arial"/>
          <w:color w:val="auto"/>
          <w:sz w:val="22"/>
          <w:szCs w:val="22"/>
          <w:lang w:val="pl-PL"/>
        </w:rPr>
        <w:t>zaopatrywania w środki higieny osobistej oraz przyznawania refundacji zakupu okularów korygujących wzrok do pracy przy komputerze,</w:t>
      </w:r>
    </w:p>
    <w:p w14:paraId="2F848322" w14:textId="2D4F6023" w:rsidR="00375221" w:rsidRPr="004F74DE" w:rsidRDefault="00640445" w:rsidP="008C481C">
      <w:pPr>
        <w:pStyle w:val="Akapitzlist"/>
        <w:numPr>
          <w:ilvl w:val="0"/>
          <w:numId w:val="15"/>
        </w:numPr>
        <w:tabs>
          <w:tab w:val="left" w:pos="-5387"/>
          <w:tab w:val="left" w:pos="567"/>
        </w:tabs>
        <w:ind w:left="567" w:hanging="567"/>
        <w:rPr>
          <w:rFonts w:ascii="Arial" w:hAnsi="Arial" w:cs="Arial"/>
          <w:bCs/>
          <w:color w:val="auto"/>
          <w:sz w:val="22"/>
          <w:szCs w:val="22"/>
          <w:lang w:val="pl-PL"/>
        </w:rPr>
      </w:pPr>
      <w:r w:rsidRPr="00F0151C">
        <w:rPr>
          <w:rFonts w:ascii="Arial" w:eastAsiaTheme="minorHAnsi" w:hAnsi="Arial" w:cs="Arial"/>
          <w:bCs/>
          <w:color w:val="auto"/>
          <w:sz w:val="22"/>
          <w:szCs w:val="22"/>
          <w:lang w:val="pl-PL" w:eastAsia="en-US"/>
        </w:rPr>
        <w:t xml:space="preserve">wydatki dotyczące użytkowania </w:t>
      </w:r>
      <w:r w:rsidR="00C52069" w:rsidRPr="00F0151C">
        <w:rPr>
          <w:rFonts w:ascii="Arial" w:eastAsiaTheme="minorHAnsi" w:hAnsi="Arial" w:cs="Arial"/>
          <w:bCs/>
          <w:color w:val="auto"/>
          <w:sz w:val="22"/>
          <w:szCs w:val="22"/>
          <w:lang w:val="pl-PL" w:eastAsia="en-US"/>
        </w:rPr>
        <w:t xml:space="preserve">samochodu służbowego i </w:t>
      </w:r>
      <w:r w:rsidRPr="00F0151C">
        <w:rPr>
          <w:rFonts w:ascii="Arial" w:eastAsiaTheme="minorHAnsi" w:hAnsi="Arial" w:cs="Arial"/>
          <w:bCs/>
          <w:color w:val="auto"/>
          <w:sz w:val="22"/>
          <w:szCs w:val="22"/>
          <w:lang w:val="pl-PL" w:eastAsia="en-US"/>
        </w:rPr>
        <w:t>samochodów prywatnych do celów służbowych oraz z tytułu podróży służbowych</w:t>
      </w:r>
      <w:r w:rsidR="00750B1C" w:rsidRPr="00F0151C">
        <w:rPr>
          <w:rFonts w:ascii="Arial" w:eastAsiaTheme="minorHAnsi" w:hAnsi="Arial" w:cs="Arial"/>
          <w:bCs/>
          <w:color w:val="auto"/>
          <w:sz w:val="22"/>
          <w:szCs w:val="22"/>
          <w:lang w:val="pl-PL" w:eastAsia="en-US"/>
        </w:rPr>
        <w:t>.</w:t>
      </w:r>
    </w:p>
    <w:p w14:paraId="3D8D6DB9" w14:textId="77777777" w:rsidR="004F74DE" w:rsidRDefault="004F74DE" w:rsidP="004F74DE">
      <w:pPr>
        <w:tabs>
          <w:tab w:val="left" w:pos="-5387"/>
          <w:tab w:val="left" w:pos="567"/>
        </w:tabs>
        <w:rPr>
          <w:rFonts w:ascii="Arial" w:hAnsi="Arial" w:cs="Arial"/>
          <w:bCs/>
          <w:color w:val="auto"/>
        </w:rPr>
      </w:pPr>
    </w:p>
    <w:p w14:paraId="57842A06" w14:textId="77777777" w:rsidR="004F74DE" w:rsidRDefault="004F74DE" w:rsidP="004F74DE">
      <w:pPr>
        <w:tabs>
          <w:tab w:val="left" w:pos="-5387"/>
          <w:tab w:val="left" w:pos="567"/>
        </w:tabs>
        <w:rPr>
          <w:rFonts w:ascii="Arial" w:hAnsi="Arial" w:cs="Arial"/>
          <w:bCs/>
          <w:color w:val="auto"/>
        </w:rPr>
      </w:pPr>
    </w:p>
    <w:p w14:paraId="1C782748" w14:textId="77777777" w:rsidR="004F74DE" w:rsidRDefault="004F74DE" w:rsidP="004F74DE">
      <w:pPr>
        <w:tabs>
          <w:tab w:val="left" w:pos="-5387"/>
          <w:tab w:val="left" w:pos="567"/>
        </w:tabs>
        <w:rPr>
          <w:rFonts w:ascii="Arial" w:hAnsi="Arial" w:cs="Arial"/>
          <w:bCs/>
          <w:color w:val="auto"/>
        </w:rPr>
      </w:pPr>
    </w:p>
    <w:p w14:paraId="16D8E67A" w14:textId="77777777" w:rsidR="004F74DE" w:rsidRPr="004F74DE" w:rsidRDefault="004F74DE" w:rsidP="004F74DE">
      <w:pPr>
        <w:tabs>
          <w:tab w:val="left" w:pos="-5387"/>
          <w:tab w:val="left" w:pos="567"/>
        </w:tabs>
        <w:rPr>
          <w:rFonts w:ascii="Arial" w:hAnsi="Arial" w:cs="Arial"/>
          <w:bCs/>
          <w:color w:val="auto"/>
        </w:rPr>
      </w:pPr>
    </w:p>
    <w:p w14:paraId="19E7AF8B" w14:textId="4A1B0B6F" w:rsidR="00C82D72" w:rsidRPr="00F0151C" w:rsidRDefault="00C82D72" w:rsidP="00285E7D">
      <w:pPr>
        <w:pStyle w:val="Akapitzlist"/>
        <w:numPr>
          <w:ilvl w:val="2"/>
          <w:numId w:val="27"/>
        </w:numPr>
        <w:ind w:left="567" w:hanging="567"/>
        <w:rPr>
          <w:rFonts w:ascii="Arial" w:hAnsi="Arial" w:cs="Arial"/>
          <w:b/>
          <w:color w:val="auto"/>
          <w:kern w:val="2"/>
          <w:sz w:val="22"/>
          <w:szCs w:val="22"/>
          <w:lang w:val="pl-PL"/>
          <w14:ligatures w14:val="standardContextual"/>
        </w:rPr>
      </w:pPr>
      <w:r w:rsidRPr="00F0151C">
        <w:rPr>
          <w:rFonts w:ascii="Arial" w:hAnsi="Arial" w:cs="Arial"/>
          <w:b/>
          <w:color w:val="auto"/>
          <w:kern w:val="2"/>
          <w:sz w:val="22"/>
          <w:szCs w:val="22"/>
          <w:lang w:val="pl-PL"/>
          <w14:ligatures w14:val="standardContextual"/>
        </w:rPr>
        <w:lastRenderedPageBreak/>
        <w:t>Ustalenie i przekazanie odpisu na ZFŚS oraz prawidłowość przyznawanych świadczeń</w:t>
      </w:r>
    </w:p>
    <w:p w14:paraId="3715C909" w14:textId="63439A11" w:rsidR="00E722ED" w:rsidRPr="00F0151C" w:rsidRDefault="00DE0BC5" w:rsidP="005D1CB8">
      <w:pPr>
        <w:tabs>
          <w:tab w:val="left" w:pos="567"/>
        </w:tabs>
        <w:spacing w:after="0" w:line="360" w:lineRule="auto"/>
        <w:jc w:val="both"/>
        <w:rPr>
          <w:rFonts w:ascii="Arial" w:hAnsi="Arial" w:cs="Arial"/>
          <w:bCs/>
          <w:color w:val="auto"/>
          <w:spacing w:val="2"/>
        </w:rPr>
      </w:pPr>
      <w:r w:rsidRPr="00F0151C">
        <w:rPr>
          <w:rFonts w:ascii="Arial" w:hAnsi="Arial" w:cs="Arial"/>
          <w:color w:val="auto"/>
          <w:spacing w:val="2"/>
        </w:rPr>
        <w:tab/>
      </w:r>
      <w:r w:rsidR="00E722ED" w:rsidRPr="00F0151C">
        <w:rPr>
          <w:rFonts w:ascii="Arial" w:hAnsi="Arial" w:cs="Arial"/>
          <w:color w:val="auto"/>
          <w:spacing w:val="2"/>
        </w:rPr>
        <w:t xml:space="preserve">Weryfikacji poddano dokumentację związaną z ustalaniem wartości odpisu podstawowego na zakładowy fundusz świadczeń socjalnych w 2022 r. </w:t>
      </w:r>
      <w:r w:rsidR="00E722ED" w:rsidRPr="00F0151C">
        <w:rPr>
          <w:rFonts w:ascii="Arial" w:hAnsi="Arial" w:cs="Arial"/>
          <w:bCs/>
          <w:color w:val="auto"/>
          <w:spacing w:val="2"/>
        </w:rPr>
        <w:t xml:space="preserve">W myśl art. 6 ust. 2 ustawy z dnia 4 marca 1994 r. o zakładowym funduszu świadczeń (t.j. Dz. U. z 2023 r. poz. 998) </w:t>
      </w:r>
      <w:r w:rsidR="00E722ED" w:rsidRPr="00F0151C">
        <w:rPr>
          <w:rFonts w:ascii="Arial" w:hAnsi="Arial" w:cs="Arial"/>
          <w:color w:val="auto"/>
          <w:spacing w:val="2"/>
        </w:rPr>
        <w:t xml:space="preserve">równowartość dokonanych odpisów i zwiększeń na dany rok kalendarzowy pracodawca przekazuje na rachunek bankowy funduszu w terminie do dnia 30 września tego roku, z tym, że w terminie do dnia 31 maja tego roku przekazuje kwotę stanowiącą co najmniej 75% równowartości odpisów. </w:t>
      </w:r>
      <w:r w:rsidR="00E722ED" w:rsidRPr="00F0151C">
        <w:rPr>
          <w:rFonts w:ascii="Arial" w:hAnsi="Arial" w:cs="Arial"/>
          <w:bCs/>
          <w:color w:val="auto"/>
          <w:spacing w:val="2"/>
        </w:rPr>
        <w:t>W związku z</w:t>
      </w:r>
      <w:r w:rsidR="00750B1C" w:rsidRPr="00F0151C">
        <w:rPr>
          <w:rFonts w:ascii="Arial" w:hAnsi="Arial" w:cs="Arial"/>
          <w:bCs/>
          <w:color w:val="auto"/>
          <w:spacing w:val="2"/>
        </w:rPr>
        <w:t> </w:t>
      </w:r>
      <w:r w:rsidR="00E722ED" w:rsidRPr="00F0151C">
        <w:rPr>
          <w:rFonts w:ascii="Arial" w:hAnsi="Arial" w:cs="Arial"/>
          <w:bCs/>
          <w:color w:val="auto"/>
          <w:spacing w:val="2"/>
        </w:rPr>
        <w:t>powyższym w dniu 24.02.2022 r. na rachunek bankowy ZFŚS przekazano kwotę 173 364,50 zł tj. 75% kwoty planowanego odpisu. Pozostałą część zgodnie z ustawą przekazano do końca września 2022 r., tj. w</w:t>
      </w:r>
      <w:r w:rsidR="008F191A" w:rsidRPr="00F0151C">
        <w:rPr>
          <w:rFonts w:ascii="Arial" w:hAnsi="Arial" w:cs="Arial"/>
          <w:bCs/>
          <w:color w:val="auto"/>
          <w:spacing w:val="2"/>
        </w:rPr>
        <w:t> </w:t>
      </w:r>
      <w:r w:rsidR="00E722ED" w:rsidRPr="00F0151C">
        <w:rPr>
          <w:rFonts w:ascii="Arial" w:hAnsi="Arial" w:cs="Arial"/>
          <w:bCs/>
          <w:color w:val="auto"/>
          <w:spacing w:val="2"/>
        </w:rPr>
        <w:t>dniu 5.09.2022 r. w kwocie 57 788,17 zł. Zgodnie z dokumentacją przedłożoną do kontroli w wyniku przeliczenia stanu zatrudnienia do faktycznej liczby zatrudnionych, które odbyło się na dzień 28.12.2022 r. ustalono, że z</w:t>
      </w:r>
      <w:r w:rsidR="00750B1C" w:rsidRPr="00F0151C">
        <w:rPr>
          <w:rFonts w:ascii="Arial" w:hAnsi="Arial" w:cs="Arial"/>
          <w:bCs/>
          <w:color w:val="auto"/>
          <w:spacing w:val="2"/>
        </w:rPr>
        <w:t> </w:t>
      </w:r>
      <w:r w:rsidR="00E722ED" w:rsidRPr="00F0151C">
        <w:rPr>
          <w:rFonts w:ascii="Arial" w:hAnsi="Arial" w:cs="Arial"/>
          <w:bCs/>
          <w:color w:val="auto"/>
          <w:spacing w:val="2"/>
        </w:rPr>
        <w:t xml:space="preserve">rachunku ZFŚS należy przekazać kwotę 2 394,67 zł, co zostało dokonane w dniu 29.12.2022 r. </w:t>
      </w:r>
    </w:p>
    <w:p w14:paraId="59CE25C0" w14:textId="77777777" w:rsidR="00E722ED" w:rsidRPr="00F0151C" w:rsidRDefault="00E722ED" w:rsidP="00E722ED">
      <w:pPr>
        <w:tabs>
          <w:tab w:val="left" w:pos="426"/>
        </w:tabs>
        <w:spacing w:after="0" w:line="360" w:lineRule="auto"/>
        <w:jc w:val="both"/>
        <w:rPr>
          <w:rFonts w:ascii="Arial" w:hAnsi="Arial" w:cs="Arial"/>
          <w:bCs/>
          <w:color w:val="auto"/>
        </w:rPr>
      </w:pPr>
      <w:r w:rsidRPr="00F0151C">
        <w:rPr>
          <w:rFonts w:ascii="Arial" w:hAnsi="Arial" w:cs="Arial"/>
          <w:bCs/>
          <w:color w:val="auto"/>
        </w:rPr>
        <w:t>Sprawdzeniu poddano prawidłowość ustalenia odpisu na ZFŚS po przeliczeniu do faktycznej liczby zatrudnionych w podziale na:</w:t>
      </w:r>
    </w:p>
    <w:p w14:paraId="548B1B87" w14:textId="75BB86EB" w:rsidR="00E722ED" w:rsidRPr="00F0151C" w:rsidRDefault="00E722ED" w:rsidP="00384BC5">
      <w:pPr>
        <w:widowControl w:val="0"/>
        <w:numPr>
          <w:ilvl w:val="0"/>
          <w:numId w:val="19"/>
        </w:numPr>
        <w:tabs>
          <w:tab w:val="left" w:pos="448"/>
        </w:tabs>
        <w:suppressAutoHyphens/>
        <w:overflowPunct/>
        <w:spacing w:after="0" w:line="360" w:lineRule="auto"/>
        <w:ind w:left="0" w:firstLine="0"/>
        <w:contextualSpacing/>
        <w:jc w:val="both"/>
        <w:rPr>
          <w:rFonts w:ascii="Arial" w:eastAsia="Andale Sans UI" w:hAnsi="Arial" w:cs="Arial"/>
          <w:b/>
          <w:bCs/>
          <w:color w:val="auto"/>
          <w:kern w:val="2"/>
          <w:lang w:eastAsia="ja-JP" w:bidi="fa-IR"/>
          <w14:ligatures w14:val="standardContextual"/>
        </w:rPr>
      </w:pPr>
      <w:r w:rsidRPr="00F0151C">
        <w:rPr>
          <w:rFonts w:ascii="Arial" w:eastAsia="Andale Sans UI" w:hAnsi="Arial" w:cs="Arial"/>
          <w:b/>
          <w:bCs/>
          <w:color w:val="auto"/>
          <w:kern w:val="2"/>
          <w:lang w:eastAsia="ja-JP" w:bidi="fa-IR"/>
          <w14:ligatures w14:val="standardContextual"/>
        </w:rPr>
        <w:t xml:space="preserve">Pracownicy </w:t>
      </w:r>
      <w:r w:rsidRPr="00F0151C">
        <w:rPr>
          <w:rFonts w:ascii="Arial" w:eastAsia="Andale Sans UI" w:hAnsi="Arial" w:cs="Arial"/>
          <w:bCs/>
          <w:color w:val="auto"/>
          <w:kern w:val="2"/>
          <w:lang w:eastAsia="ja-JP" w:bidi="fa-IR"/>
          <w14:ligatures w14:val="standardContextual"/>
        </w:rPr>
        <w:t>– w wyniku weryfikacji struktury zatrudnienia w MZBM w poszczególnych miesiącach 2022 r. oraz wyrywkowej analizy akt osobowych pracowników zatrudnionych w</w:t>
      </w:r>
      <w:r w:rsidR="0013373D" w:rsidRPr="00F0151C">
        <w:rPr>
          <w:rFonts w:ascii="Arial" w:eastAsia="Andale Sans UI" w:hAnsi="Arial" w:cs="Arial"/>
          <w:bCs/>
          <w:color w:val="auto"/>
          <w:kern w:val="2"/>
          <w:lang w:eastAsia="ja-JP" w:bidi="fa-IR"/>
          <w14:ligatures w14:val="standardContextual"/>
        </w:rPr>
        <w:t> </w:t>
      </w:r>
      <w:r w:rsidRPr="00F0151C">
        <w:rPr>
          <w:rFonts w:ascii="Arial" w:eastAsia="Andale Sans UI" w:hAnsi="Arial" w:cs="Arial"/>
          <w:bCs/>
          <w:color w:val="auto"/>
          <w:kern w:val="2"/>
          <w:lang w:eastAsia="ja-JP" w:bidi="fa-IR"/>
          <w14:ligatures w14:val="standardContextual"/>
        </w:rPr>
        <w:t>zakładzie w 2022 r. stwierdzono, iż odpis podstawowy na ZFŚS dla faktycznej, przeciętnej liczby zatrudnionych w skali roku w pełnym i niepełnym wymiarze czasu pracy po przeliczeniu na pełny wymiar czasu pracy powinien wynosić  203 536,44 zł dla 122,31 etatów (mając na uwadze zwiększenie odpisu na  pracownika o znacznym/umiarkowanym stopniu niepełnosprawności). Przeprowadzona weryfikacja nie wykazała nieprawidłowości w</w:t>
      </w:r>
      <w:r w:rsidR="00750B1C" w:rsidRPr="00F0151C">
        <w:rPr>
          <w:rFonts w:ascii="Arial" w:eastAsia="Andale Sans UI" w:hAnsi="Arial" w:cs="Arial"/>
          <w:bCs/>
          <w:color w:val="auto"/>
          <w:kern w:val="2"/>
          <w:lang w:eastAsia="ja-JP" w:bidi="fa-IR"/>
          <w14:ligatures w14:val="standardContextual"/>
        </w:rPr>
        <w:t> </w:t>
      </w:r>
      <w:r w:rsidRPr="00F0151C">
        <w:rPr>
          <w:rFonts w:ascii="Arial" w:eastAsia="Andale Sans UI" w:hAnsi="Arial" w:cs="Arial"/>
          <w:bCs/>
          <w:color w:val="auto"/>
          <w:kern w:val="2"/>
          <w:lang w:eastAsia="ja-JP" w:bidi="fa-IR"/>
          <w14:ligatures w14:val="standardContextual"/>
        </w:rPr>
        <w:t>zakresie ustalanie kwoty odpisu podstawowego na pracowników zakładu.</w:t>
      </w:r>
    </w:p>
    <w:p w14:paraId="77ABEFA5" w14:textId="405B3501" w:rsidR="00E722ED" w:rsidRPr="00F0151C" w:rsidRDefault="00E722ED" w:rsidP="00384BC5">
      <w:pPr>
        <w:widowControl w:val="0"/>
        <w:numPr>
          <w:ilvl w:val="0"/>
          <w:numId w:val="19"/>
        </w:numPr>
        <w:tabs>
          <w:tab w:val="left" w:pos="-3828"/>
          <w:tab w:val="left" w:pos="-3119"/>
          <w:tab w:val="left" w:pos="420"/>
          <w:tab w:val="left" w:pos="448"/>
        </w:tabs>
        <w:suppressAutoHyphens/>
        <w:overflowPunct/>
        <w:spacing w:after="0" w:line="360" w:lineRule="auto"/>
        <w:ind w:left="0" w:firstLine="0"/>
        <w:contextualSpacing/>
        <w:jc w:val="both"/>
        <w:rPr>
          <w:rFonts w:ascii="Arial" w:hAnsi="Arial" w:cs="Arial"/>
          <w:bCs/>
          <w:color w:val="auto"/>
          <w:spacing w:val="-4"/>
        </w:rPr>
      </w:pPr>
      <w:r w:rsidRPr="00F0151C">
        <w:rPr>
          <w:rFonts w:ascii="Arial" w:eastAsia="Andale Sans UI" w:hAnsi="Arial" w:cs="Arial"/>
          <w:b/>
          <w:bCs/>
          <w:color w:val="auto"/>
          <w:spacing w:val="-4"/>
          <w:kern w:val="2"/>
          <w:lang w:eastAsia="ja-JP" w:bidi="fa-IR"/>
          <w14:ligatures w14:val="standardContextual"/>
        </w:rPr>
        <w:t xml:space="preserve">Emeryci i renciści - </w:t>
      </w:r>
      <w:r w:rsidRPr="00F0151C">
        <w:rPr>
          <w:rFonts w:ascii="Arial" w:eastAsia="Andale Sans UI" w:hAnsi="Arial" w:cs="Arial"/>
          <w:bCs/>
          <w:color w:val="auto"/>
          <w:spacing w:val="-4"/>
          <w:kern w:val="2"/>
          <w:lang w:eastAsia="ja-JP" w:bidi="fa-IR"/>
          <w14:ligatures w14:val="standardContextual"/>
        </w:rPr>
        <w:t>zgodnie</w:t>
      </w:r>
      <w:r w:rsidRPr="00F0151C">
        <w:rPr>
          <w:rFonts w:ascii="Arial" w:eastAsia="Times New Roman" w:hAnsi="Arial" w:cs="Arial"/>
          <w:bCs/>
          <w:color w:val="auto"/>
          <w:spacing w:val="-4"/>
          <w:kern w:val="2"/>
          <w:lang w:eastAsia="ja-JP" w:bidi="fa-IR"/>
          <w14:ligatures w14:val="standardContextual"/>
        </w:rPr>
        <w:t xml:space="preserve"> z </w:t>
      </w:r>
      <w:r w:rsidRPr="00F0151C">
        <w:rPr>
          <w:rFonts w:ascii="Arial" w:eastAsia="Times New Roman" w:hAnsi="Arial" w:cs="Arial"/>
          <w:color w:val="auto"/>
          <w:spacing w:val="-4"/>
          <w:kern w:val="2"/>
          <w:lang w:eastAsia="ja-JP" w:bidi="fa-IR"/>
          <w14:ligatures w14:val="standardContextual"/>
        </w:rPr>
        <w:t xml:space="preserve">art. 5 ust. 5 ustawy z dnia 4 marca 1994 r. o zakładowym funduszu świadczeń socjalnych (t.j. Dz. U. z 2023 r. poz. 998 z późn. zm.) pracodawcy sprawujący opiekę socjalną nad emerytami i rencistami, w tym także ze zlikwidowanych zakładów pracy, mogą zwiększyć Fundusz o 6,25% przeciętnego wynagrodzenia miesięcznego, na każdego emeryta i rencistę uprawnionego do tej opieki. </w:t>
      </w:r>
      <w:r w:rsidRPr="00F0151C">
        <w:rPr>
          <w:rFonts w:ascii="Arial" w:eastAsia="Andale Sans UI" w:hAnsi="Arial" w:cs="Arial"/>
          <w:color w:val="auto"/>
          <w:spacing w:val="-4"/>
          <w:kern w:val="2"/>
          <w:lang w:eastAsia="ja-JP" w:bidi="fa-IR"/>
          <w14:ligatures w14:val="standardContextual"/>
        </w:rPr>
        <w:t xml:space="preserve">Do końca września 2022 r. zakład  przekazał na rachunek Funduszu kwotę  26 330,20 zł tytułem odpisu na 95 emerytowanych, byłych pracowników MZBM. </w:t>
      </w:r>
      <w:r w:rsidRPr="00F0151C">
        <w:rPr>
          <w:rFonts w:ascii="Arial" w:eastAsia="Andale Sans UI" w:hAnsi="Arial" w:cs="Arial"/>
          <w:b/>
          <w:bCs/>
          <w:color w:val="auto"/>
          <w:spacing w:val="-4"/>
          <w:kern w:val="2"/>
          <w:lang w:eastAsia="ja-JP" w:bidi="fa-IR"/>
          <w14:ligatures w14:val="standardContextual"/>
        </w:rPr>
        <w:t xml:space="preserve">Następnie w grudniu 2022 r. dokonano przeliczenia </w:t>
      </w:r>
      <w:r w:rsidRPr="00F0151C">
        <w:rPr>
          <w:rFonts w:ascii="Arial" w:eastAsia="Andale Sans UI" w:hAnsi="Arial" w:cs="Arial"/>
          <w:color w:val="auto"/>
          <w:spacing w:val="-4"/>
          <w:kern w:val="2"/>
          <w:lang w:eastAsia="ja-JP" w:bidi="fa-IR"/>
          <w14:ligatures w14:val="standardContextual"/>
        </w:rPr>
        <w:t>liczby emerytów, ustalając że odpis powinien wynosić 25 221,56 zł z uwagi na fakt, że liczba emerytów zmniejszyła się do 91 osób. Tymczasem zgodnie z</w:t>
      </w:r>
      <w:r w:rsidRPr="00F0151C">
        <w:rPr>
          <w:rFonts w:ascii="Times New Roman" w:eastAsia="Times New Roman" w:hAnsi="Times New Roman" w:cs="Times New Roman"/>
          <w:color w:val="auto"/>
          <w:spacing w:val="-4"/>
          <w:sz w:val="24"/>
          <w:szCs w:val="24"/>
        </w:rPr>
        <w:t xml:space="preserve"> </w:t>
      </w:r>
      <w:r w:rsidRPr="00F0151C">
        <w:rPr>
          <w:rFonts w:ascii="Arial" w:eastAsia="Andale Sans UI" w:hAnsi="Arial" w:cs="Arial"/>
          <w:color w:val="auto"/>
          <w:spacing w:val="-4"/>
          <w:kern w:val="2"/>
          <w:lang w:eastAsia="ja-JP" w:bidi="fa-IR"/>
          <w14:ligatures w14:val="standardContextual"/>
        </w:rPr>
        <w:t xml:space="preserve">rozporządzeniem Ministra Pracy i Polityki Społecznej z dnia 9 marca 2009 r. w sprawie sposobu ustalania przeciętnej liczby </w:t>
      </w:r>
      <w:r w:rsidRPr="00F0151C">
        <w:rPr>
          <w:rFonts w:ascii="Arial" w:eastAsia="Andale Sans UI" w:hAnsi="Arial" w:cs="Arial"/>
          <w:b/>
          <w:bCs/>
          <w:color w:val="auto"/>
          <w:spacing w:val="-4"/>
          <w:kern w:val="2"/>
          <w:u w:val="single"/>
          <w:lang w:eastAsia="ja-JP" w:bidi="fa-IR"/>
          <w14:ligatures w14:val="standardContextual"/>
        </w:rPr>
        <w:t xml:space="preserve">zatrudnionych </w:t>
      </w:r>
      <w:r w:rsidRPr="00F0151C">
        <w:rPr>
          <w:rFonts w:ascii="Arial" w:eastAsia="Andale Sans UI" w:hAnsi="Arial" w:cs="Arial"/>
          <w:color w:val="auto"/>
          <w:spacing w:val="-4"/>
          <w:kern w:val="2"/>
          <w:lang w:eastAsia="ja-JP" w:bidi="fa-IR"/>
          <w14:ligatures w14:val="standardContextual"/>
        </w:rPr>
        <w:t xml:space="preserve">w celu naliczania odpisu na zakładowy fundusz świadczeń socjalnych (Dz. U. Nr 43, poz. 349) </w:t>
      </w:r>
      <w:r w:rsidRPr="00F0151C">
        <w:rPr>
          <w:rFonts w:ascii="Arial" w:eastAsia="Andale Sans UI" w:hAnsi="Arial" w:cs="Arial"/>
          <w:color w:val="auto"/>
          <w:spacing w:val="-4"/>
          <w:kern w:val="2"/>
          <w:lang w:eastAsia="ja-JP" w:bidi="fa-IR"/>
          <w14:ligatures w14:val="standardContextual"/>
        </w:rPr>
        <w:lastRenderedPageBreak/>
        <w:t xml:space="preserve">podstawę naliczania odpisu, stanowi przeciętna planowana w danym roku kalendarzowym liczba </w:t>
      </w:r>
      <w:r w:rsidRPr="00F0151C">
        <w:rPr>
          <w:rFonts w:ascii="Arial" w:eastAsia="Andale Sans UI" w:hAnsi="Arial" w:cs="Arial"/>
          <w:b/>
          <w:bCs/>
          <w:color w:val="auto"/>
          <w:spacing w:val="-4"/>
          <w:kern w:val="2"/>
          <w:u w:val="single"/>
          <w:lang w:eastAsia="ja-JP" w:bidi="fa-IR"/>
          <w14:ligatures w14:val="standardContextual"/>
        </w:rPr>
        <w:t>zatrudnionych</w:t>
      </w:r>
      <w:r w:rsidRPr="00F0151C">
        <w:rPr>
          <w:rFonts w:ascii="Arial" w:eastAsia="Andale Sans UI" w:hAnsi="Arial" w:cs="Arial"/>
          <w:color w:val="auto"/>
          <w:spacing w:val="-4"/>
          <w:kern w:val="2"/>
          <w:lang w:eastAsia="ja-JP" w:bidi="fa-IR"/>
          <w14:ligatures w14:val="standardContextual"/>
        </w:rPr>
        <w:t xml:space="preserve"> u pracodawcy, skorygowana w końcu roku do faktycznej przeciętnej liczby zatrudnionych, obejmująca pracowników zatrudnionych w</w:t>
      </w:r>
      <w:r w:rsidR="0013373D" w:rsidRPr="00F0151C">
        <w:rPr>
          <w:rFonts w:ascii="Arial" w:eastAsia="Andale Sans UI" w:hAnsi="Arial" w:cs="Arial"/>
          <w:color w:val="auto"/>
          <w:spacing w:val="-4"/>
          <w:kern w:val="2"/>
          <w:lang w:eastAsia="ja-JP" w:bidi="fa-IR"/>
          <w14:ligatures w14:val="standardContextual"/>
        </w:rPr>
        <w:t> </w:t>
      </w:r>
      <w:r w:rsidRPr="00F0151C">
        <w:rPr>
          <w:rFonts w:ascii="Arial" w:eastAsia="Andale Sans UI" w:hAnsi="Arial" w:cs="Arial"/>
          <w:color w:val="auto"/>
          <w:spacing w:val="-4"/>
          <w:kern w:val="2"/>
          <w:lang w:eastAsia="ja-JP" w:bidi="fa-IR"/>
          <w14:ligatures w14:val="standardContextual"/>
        </w:rPr>
        <w:t>pełnym i niepełnym wymiarze czasu pracy (po przeliczeniu na pełny wymiar czasu pracy).</w:t>
      </w:r>
      <w:r w:rsidRPr="00F0151C">
        <w:rPr>
          <w:rFonts w:ascii="Arial" w:eastAsia="Andale Sans UI" w:hAnsi="Arial" w:cs="Arial"/>
          <w:b/>
          <w:bCs/>
          <w:color w:val="auto"/>
          <w:spacing w:val="-4"/>
          <w:kern w:val="2"/>
          <w:lang w:eastAsia="ja-JP" w:bidi="fa-IR"/>
          <w14:ligatures w14:val="standardContextual"/>
        </w:rPr>
        <w:t>Powyższy przepis obliguje zatem do przeliczenia kwoty odpisu jedynie w zakresie zatrudnionych. Brak jest zatem podstaw prawnych do dokonania korekty odpisu ustalonego na emerytów i rencistów. Wobec powyższego odpis na ZFŚS zakładu został pomniejszony o kwotę 1 108,64 zł.</w:t>
      </w:r>
    </w:p>
    <w:p w14:paraId="1A157279" w14:textId="06833E5F" w:rsidR="00E722ED" w:rsidRPr="00F0151C" w:rsidRDefault="00E722ED" w:rsidP="00750B1C">
      <w:pPr>
        <w:widowControl w:val="0"/>
        <w:tabs>
          <w:tab w:val="left" w:pos="-3828"/>
          <w:tab w:val="left" w:pos="-3119"/>
          <w:tab w:val="left" w:pos="448"/>
        </w:tabs>
        <w:suppressAutoHyphens/>
        <w:spacing w:line="360" w:lineRule="auto"/>
        <w:contextualSpacing/>
        <w:jc w:val="both"/>
        <w:rPr>
          <w:rFonts w:ascii="Arial" w:eastAsia="Andale Sans UI" w:hAnsi="Arial" w:cs="Arial"/>
          <w:color w:val="auto"/>
          <w:lang w:eastAsia="ja-JP" w:bidi="fa-IR"/>
        </w:rPr>
      </w:pPr>
      <w:r w:rsidRPr="00F0151C">
        <w:rPr>
          <w:rFonts w:ascii="Arial" w:eastAsia="Andale Sans UI" w:hAnsi="Arial" w:cs="Arial"/>
          <w:bCs/>
          <w:color w:val="auto"/>
          <w:lang w:eastAsia="ja-JP" w:bidi="fa-IR"/>
        </w:rPr>
        <w:tab/>
        <w:t xml:space="preserve">Zasady funkcjonowania ZFŚS określone zostały w regulaminie </w:t>
      </w:r>
      <w:r w:rsidRPr="00F0151C">
        <w:rPr>
          <w:rFonts w:ascii="Arial" w:eastAsia="Andale Sans UI" w:hAnsi="Arial" w:cs="Arial"/>
          <w:color w:val="auto"/>
          <w:lang w:eastAsia="ja-JP" w:bidi="fa-IR"/>
        </w:rPr>
        <w:t xml:space="preserve">wprowadzonym </w:t>
      </w:r>
      <w:r w:rsidRPr="00F0151C">
        <w:rPr>
          <w:rFonts w:ascii="Arial" w:eastAsia="Andale Sans UI" w:hAnsi="Arial" w:cs="Arial"/>
          <w:bCs/>
          <w:color w:val="auto"/>
          <w:lang w:eastAsia="ja-JP" w:bidi="fa-IR"/>
        </w:rPr>
        <w:t xml:space="preserve">zarządzeniem nr 0152/89/05/2019 z dnia 20 maja 2019 r. w sprawie wprowadzenia Regulaminu Zakładowego Funduszu Świadczeń Socjalnych Miejskiego Zarządu Budynków Mieszkalnych w Tychach wraz z aneksami. </w:t>
      </w:r>
      <w:r w:rsidRPr="00F0151C">
        <w:rPr>
          <w:rFonts w:ascii="Arial" w:eastAsia="Andale Sans UI" w:hAnsi="Arial" w:cs="Arial"/>
          <w:color w:val="auto"/>
          <w:lang w:eastAsia="ja-JP" w:bidi="fa-IR"/>
        </w:rPr>
        <w:t>Zgodnie z treścią regulaminu świadczenia socjalne</w:t>
      </w:r>
      <w:r w:rsidR="002809C2" w:rsidRPr="00F0151C">
        <w:rPr>
          <w:rFonts w:ascii="Arial" w:eastAsia="Andale Sans UI" w:hAnsi="Arial" w:cs="Arial"/>
          <w:color w:val="auto"/>
          <w:lang w:eastAsia="ja-JP" w:bidi="fa-IR"/>
        </w:rPr>
        <w:t>,</w:t>
      </w:r>
      <w:r w:rsidRPr="00F0151C">
        <w:rPr>
          <w:rFonts w:ascii="Arial" w:eastAsia="Andale Sans UI" w:hAnsi="Arial" w:cs="Arial"/>
          <w:color w:val="auto"/>
          <w:lang w:eastAsia="ja-JP" w:bidi="fa-IR"/>
        </w:rPr>
        <w:t xml:space="preserve"> na które przeznacza się środki funduszu to:</w:t>
      </w:r>
    </w:p>
    <w:p w14:paraId="43D5443A" w14:textId="0D127EC9" w:rsidR="00E722ED" w:rsidRPr="00F0151C" w:rsidRDefault="00E722ED" w:rsidP="00384BC5">
      <w:pPr>
        <w:numPr>
          <w:ilvl w:val="0"/>
          <w:numId w:val="20"/>
        </w:numPr>
        <w:overflowPunct/>
        <w:spacing w:after="160" w:line="360" w:lineRule="auto"/>
        <w:ind w:left="426" w:hanging="426"/>
        <w:contextualSpacing/>
        <w:jc w:val="both"/>
        <w:rPr>
          <w:rFonts w:ascii="Arial" w:eastAsia="Andale Sans UI" w:hAnsi="Arial" w:cs="Arial"/>
          <w:color w:val="auto"/>
          <w:lang w:eastAsia="ja-JP" w:bidi="fa-IR"/>
        </w:rPr>
      </w:pPr>
      <w:r w:rsidRPr="00F0151C">
        <w:rPr>
          <w:rFonts w:ascii="Arial" w:eastAsia="Andale Sans UI" w:hAnsi="Arial" w:cs="Arial"/>
          <w:color w:val="auto"/>
          <w:lang w:eastAsia="ja-JP" w:bidi="fa-IR"/>
        </w:rPr>
        <w:t>Bezzwrotn</w:t>
      </w:r>
      <w:r w:rsidR="002809C2" w:rsidRPr="00F0151C">
        <w:rPr>
          <w:rFonts w:ascii="Arial" w:eastAsia="Andale Sans UI" w:hAnsi="Arial" w:cs="Arial"/>
          <w:color w:val="auto"/>
          <w:lang w:eastAsia="ja-JP" w:bidi="fa-IR"/>
        </w:rPr>
        <w:t>a</w:t>
      </w:r>
      <w:r w:rsidRPr="00F0151C">
        <w:rPr>
          <w:rFonts w:ascii="Arial" w:eastAsia="Andale Sans UI" w:hAnsi="Arial" w:cs="Arial"/>
          <w:color w:val="auto"/>
          <w:lang w:eastAsia="ja-JP" w:bidi="fa-IR"/>
        </w:rPr>
        <w:t xml:space="preserve"> pomoc rzeczow</w:t>
      </w:r>
      <w:r w:rsidR="002809C2" w:rsidRPr="00F0151C">
        <w:rPr>
          <w:rFonts w:ascii="Arial" w:eastAsia="Andale Sans UI" w:hAnsi="Arial" w:cs="Arial"/>
          <w:color w:val="auto"/>
          <w:lang w:eastAsia="ja-JP" w:bidi="fa-IR"/>
        </w:rPr>
        <w:t>a</w:t>
      </w:r>
      <w:r w:rsidRPr="00F0151C">
        <w:rPr>
          <w:rFonts w:ascii="Arial" w:eastAsia="Andale Sans UI" w:hAnsi="Arial" w:cs="Arial"/>
          <w:color w:val="auto"/>
          <w:lang w:eastAsia="ja-JP" w:bidi="fa-IR"/>
        </w:rPr>
        <w:t xml:space="preserve"> i finansow</w:t>
      </w:r>
      <w:r w:rsidR="002809C2" w:rsidRPr="00F0151C">
        <w:rPr>
          <w:rFonts w:ascii="Arial" w:eastAsia="Andale Sans UI" w:hAnsi="Arial" w:cs="Arial"/>
          <w:color w:val="auto"/>
          <w:lang w:eastAsia="ja-JP" w:bidi="fa-IR"/>
        </w:rPr>
        <w:t>a</w:t>
      </w:r>
      <w:r w:rsidRPr="00F0151C">
        <w:rPr>
          <w:rFonts w:ascii="Arial" w:eastAsia="Andale Sans UI" w:hAnsi="Arial" w:cs="Arial"/>
          <w:color w:val="auto"/>
          <w:lang w:eastAsia="ja-JP" w:bidi="fa-IR"/>
        </w:rPr>
        <w:t xml:space="preserve"> przyznawan</w:t>
      </w:r>
      <w:r w:rsidR="002809C2" w:rsidRPr="00F0151C">
        <w:rPr>
          <w:rFonts w:ascii="Arial" w:eastAsia="Andale Sans UI" w:hAnsi="Arial" w:cs="Arial"/>
          <w:color w:val="auto"/>
          <w:lang w:eastAsia="ja-JP" w:bidi="fa-IR"/>
        </w:rPr>
        <w:t>a</w:t>
      </w:r>
      <w:r w:rsidRPr="00F0151C">
        <w:rPr>
          <w:rFonts w:ascii="Arial" w:eastAsia="Andale Sans UI" w:hAnsi="Arial" w:cs="Arial"/>
          <w:color w:val="auto"/>
          <w:lang w:eastAsia="ja-JP" w:bidi="fa-IR"/>
        </w:rPr>
        <w:t xml:space="preserve"> osobom znajdującym się w</w:t>
      </w:r>
      <w:r w:rsidR="00750B1C" w:rsidRPr="00F0151C">
        <w:rPr>
          <w:rFonts w:ascii="Arial" w:eastAsia="Andale Sans UI" w:hAnsi="Arial" w:cs="Arial"/>
          <w:color w:val="auto"/>
          <w:lang w:eastAsia="ja-JP" w:bidi="fa-IR"/>
        </w:rPr>
        <w:t> </w:t>
      </w:r>
      <w:r w:rsidRPr="00F0151C">
        <w:rPr>
          <w:rFonts w:ascii="Arial" w:eastAsia="Andale Sans UI" w:hAnsi="Arial" w:cs="Arial"/>
          <w:color w:val="auto"/>
          <w:lang w:eastAsia="ja-JP" w:bidi="fa-IR"/>
        </w:rPr>
        <w:t>trudnej</w:t>
      </w:r>
      <w:r w:rsidR="002809C2" w:rsidRPr="00F0151C">
        <w:rPr>
          <w:rFonts w:ascii="Arial" w:eastAsia="Andale Sans UI" w:hAnsi="Arial" w:cs="Arial"/>
          <w:color w:val="auto"/>
          <w:lang w:eastAsia="ja-JP" w:bidi="fa-IR"/>
        </w:rPr>
        <w:t xml:space="preserve"> </w:t>
      </w:r>
      <w:r w:rsidRPr="00F0151C">
        <w:rPr>
          <w:rFonts w:ascii="Arial" w:eastAsia="Andale Sans UI" w:hAnsi="Arial" w:cs="Arial"/>
          <w:color w:val="auto"/>
          <w:lang w:eastAsia="ja-JP" w:bidi="fa-IR"/>
        </w:rPr>
        <w:t>sytuacji życiowej</w:t>
      </w:r>
    </w:p>
    <w:p w14:paraId="67A74EB8" w14:textId="77777777" w:rsidR="00E722ED" w:rsidRPr="00F0151C" w:rsidRDefault="00E722ED" w:rsidP="00384BC5">
      <w:pPr>
        <w:widowControl w:val="0"/>
        <w:numPr>
          <w:ilvl w:val="0"/>
          <w:numId w:val="20"/>
        </w:numPr>
        <w:tabs>
          <w:tab w:val="left" w:pos="-3828"/>
          <w:tab w:val="left" w:pos="-3119"/>
          <w:tab w:val="left" w:pos="448"/>
        </w:tabs>
        <w:suppressAutoHyphens/>
        <w:overflowPunct/>
        <w:spacing w:after="160" w:line="360" w:lineRule="auto"/>
        <w:ind w:left="426" w:hanging="426"/>
        <w:contextualSpacing/>
        <w:jc w:val="both"/>
        <w:rPr>
          <w:rFonts w:ascii="Arial" w:eastAsia="Andale Sans UI" w:hAnsi="Arial" w:cs="Arial"/>
          <w:color w:val="auto"/>
          <w:lang w:eastAsia="ja-JP" w:bidi="fa-IR"/>
        </w:rPr>
      </w:pPr>
      <w:r w:rsidRPr="00F0151C">
        <w:rPr>
          <w:rFonts w:ascii="Arial" w:eastAsia="Andale Sans UI" w:hAnsi="Arial" w:cs="Arial"/>
          <w:bCs/>
          <w:color w:val="auto"/>
          <w:lang w:eastAsia="ja-JP" w:bidi="fa-IR"/>
        </w:rPr>
        <w:t>Dofinansowanie do wypoczynku urlopowego organizowanego we własnym zakresie tzw. „wczasy pod gruszą”,</w:t>
      </w:r>
    </w:p>
    <w:p w14:paraId="1883C708" w14:textId="77777777" w:rsidR="00E722ED" w:rsidRPr="00F0151C" w:rsidRDefault="00E722ED" w:rsidP="00384BC5">
      <w:pPr>
        <w:widowControl w:val="0"/>
        <w:numPr>
          <w:ilvl w:val="0"/>
          <w:numId w:val="20"/>
        </w:numPr>
        <w:tabs>
          <w:tab w:val="left" w:pos="-3828"/>
          <w:tab w:val="left" w:pos="-3119"/>
          <w:tab w:val="left" w:pos="448"/>
        </w:tabs>
        <w:suppressAutoHyphens/>
        <w:overflowPunct/>
        <w:spacing w:after="160" w:line="360" w:lineRule="auto"/>
        <w:ind w:left="426" w:hanging="426"/>
        <w:contextualSpacing/>
        <w:jc w:val="both"/>
        <w:rPr>
          <w:rFonts w:ascii="Arial" w:eastAsia="Andale Sans UI" w:hAnsi="Arial" w:cs="Arial"/>
          <w:color w:val="auto"/>
          <w:lang w:eastAsia="ja-JP" w:bidi="fa-IR"/>
        </w:rPr>
      </w:pPr>
      <w:r w:rsidRPr="00F0151C">
        <w:rPr>
          <w:rFonts w:ascii="Arial" w:eastAsia="Andale Sans UI" w:hAnsi="Arial" w:cs="Arial"/>
          <w:bCs/>
          <w:color w:val="auto"/>
          <w:lang w:eastAsia="ja-JP" w:bidi="fa-IR"/>
        </w:rPr>
        <w:t xml:space="preserve">Przyznawanie rzeczowych i pieniężnych świadczeń: paczki świąteczne dla dzieci, bilety na imprezy sportowe i kulturalne, bony towarowe oraz karty podarunkowe, </w:t>
      </w:r>
    </w:p>
    <w:p w14:paraId="12773DC0" w14:textId="77777777" w:rsidR="00E722ED" w:rsidRPr="00F0151C" w:rsidRDefault="00E722ED" w:rsidP="00384BC5">
      <w:pPr>
        <w:widowControl w:val="0"/>
        <w:numPr>
          <w:ilvl w:val="0"/>
          <w:numId w:val="20"/>
        </w:numPr>
        <w:tabs>
          <w:tab w:val="left" w:pos="-3828"/>
          <w:tab w:val="left" w:pos="-3119"/>
          <w:tab w:val="left" w:pos="448"/>
        </w:tabs>
        <w:suppressAutoHyphens/>
        <w:overflowPunct/>
        <w:spacing w:after="160" w:line="360" w:lineRule="auto"/>
        <w:ind w:left="426" w:hanging="426"/>
        <w:contextualSpacing/>
        <w:jc w:val="both"/>
        <w:rPr>
          <w:rFonts w:ascii="Arial" w:eastAsia="Andale Sans UI" w:hAnsi="Arial" w:cs="Arial"/>
          <w:color w:val="auto"/>
          <w:lang w:eastAsia="ja-JP" w:bidi="fa-IR"/>
        </w:rPr>
      </w:pPr>
      <w:r w:rsidRPr="00F0151C">
        <w:rPr>
          <w:rFonts w:ascii="Arial" w:eastAsia="Andale Sans UI" w:hAnsi="Arial" w:cs="Arial"/>
          <w:bCs/>
          <w:color w:val="auto"/>
          <w:lang w:eastAsia="ja-JP" w:bidi="fa-IR"/>
        </w:rPr>
        <w:t>Dofinansowanie wyjazdów tzw. „zielone przedszkole”, „zielona szkoła”,</w:t>
      </w:r>
    </w:p>
    <w:p w14:paraId="038898F0" w14:textId="77777777" w:rsidR="00E722ED" w:rsidRPr="00F0151C" w:rsidRDefault="00E722ED" w:rsidP="00384BC5">
      <w:pPr>
        <w:widowControl w:val="0"/>
        <w:numPr>
          <w:ilvl w:val="0"/>
          <w:numId w:val="20"/>
        </w:numPr>
        <w:tabs>
          <w:tab w:val="left" w:pos="-3828"/>
          <w:tab w:val="left" w:pos="-3119"/>
          <w:tab w:val="left" w:pos="448"/>
        </w:tabs>
        <w:suppressAutoHyphens/>
        <w:overflowPunct/>
        <w:spacing w:after="160" w:line="360" w:lineRule="auto"/>
        <w:ind w:left="426" w:hanging="426"/>
        <w:contextualSpacing/>
        <w:jc w:val="both"/>
        <w:rPr>
          <w:rFonts w:ascii="Arial" w:eastAsia="Andale Sans UI" w:hAnsi="Arial" w:cs="Arial"/>
          <w:color w:val="auto"/>
          <w:lang w:eastAsia="ja-JP" w:bidi="fa-IR"/>
        </w:rPr>
      </w:pPr>
      <w:r w:rsidRPr="00F0151C">
        <w:rPr>
          <w:rFonts w:ascii="Arial" w:eastAsia="Andale Sans UI" w:hAnsi="Arial" w:cs="Arial"/>
          <w:color w:val="auto"/>
          <w:lang w:eastAsia="ja-JP" w:bidi="fa-IR"/>
        </w:rPr>
        <w:t>Zwrotną pomoc na cele mieszkaniowe.</w:t>
      </w:r>
    </w:p>
    <w:p w14:paraId="2A5FECC8" w14:textId="74E2408A" w:rsidR="00E722ED" w:rsidRPr="00F0151C" w:rsidRDefault="004F74DE" w:rsidP="00750B1C">
      <w:pPr>
        <w:tabs>
          <w:tab w:val="left" w:pos="426"/>
        </w:tabs>
        <w:spacing w:after="0" w:line="360" w:lineRule="auto"/>
        <w:jc w:val="both"/>
        <w:rPr>
          <w:rFonts w:ascii="Arial" w:hAnsi="Arial" w:cs="Arial"/>
          <w:color w:val="auto"/>
          <w:spacing w:val="-2"/>
        </w:rPr>
      </w:pPr>
      <w:r>
        <w:rPr>
          <w:rFonts w:ascii="Arial" w:hAnsi="Arial" w:cs="Arial"/>
          <w:color w:val="auto"/>
        </w:rPr>
        <w:tab/>
      </w:r>
      <w:r w:rsidR="00E722ED" w:rsidRPr="00F0151C">
        <w:rPr>
          <w:rFonts w:ascii="Arial" w:hAnsi="Arial" w:cs="Arial"/>
          <w:color w:val="auto"/>
        </w:rPr>
        <w:t>Świadczenia z Funduszu są uzależnione od sytuacji życiowej, rodzinnej i materialnej osoby uprawnionej do korzystania z Funduszu. Podstawą do ustalenia świadczenia z</w:t>
      </w:r>
      <w:r>
        <w:rPr>
          <w:rFonts w:ascii="Arial" w:hAnsi="Arial" w:cs="Arial"/>
          <w:color w:val="auto"/>
        </w:rPr>
        <w:t> </w:t>
      </w:r>
      <w:r w:rsidR="00E722ED" w:rsidRPr="00F0151C">
        <w:rPr>
          <w:rFonts w:ascii="Arial" w:hAnsi="Arial" w:cs="Arial"/>
          <w:color w:val="auto"/>
        </w:rPr>
        <w:t>Funduszu stanowi średni dochód brutto przypadający na jednego członka rodziny. Podstaw</w:t>
      </w:r>
      <w:r w:rsidR="007957CD" w:rsidRPr="00F0151C">
        <w:rPr>
          <w:rFonts w:ascii="Arial" w:hAnsi="Arial" w:cs="Arial"/>
          <w:color w:val="auto"/>
        </w:rPr>
        <w:t>ą</w:t>
      </w:r>
      <w:r w:rsidR="00E722ED" w:rsidRPr="00F0151C">
        <w:rPr>
          <w:rFonts w:ascii="Arial" w:hAnsi="Arial" w:cs="Arial"/>
          <w:color w:val="auto"/>
        </w:rPr>
        <w:t xml:space="preserve"> ustalenia średniego dochodu brutto przypadającego na jednego członka rodziny jest wskazany w</w:t>
      </w:r>
      <w:r w:rsidR="00750B1C" w:rsidRPr="00F0151C">
        <w:rPr>
          <w:rFonts w:ascii="Arial" w:hAnsi="Arial" w:cs="Arial"/>
          <w:color w:val="auto"/>
        </w:rPr>
        <w:t> </w:t>
      </w:r>
      <w:r w:rsidR="00E722ED" w:rsidRPr="00F0151C">
        <w:rPr>
          <w:rFonts w:ascii="Arial" w:hAnsi="Arial" w:cs="Arial"/>
          <w:color w:val="auto"/>
        </w:rPr>
        <w:t>oświadczeniu lub zaświadczeniu przez osobę uprawnioną do korzystania z</w:t>
      </w:r>
      <w:r>
        <w:rPr>
          <w:rFonts w:ascii="Arial" w:hAnsi="Arial" w:cs="Arial"/>
          <w:color w:val="auto"/>
        </w:rPr>
        <w:t> </w:t>
      </w:r>
      <w:r w:rsidR="00E722ED" w:rsidRPr="00F0151C">
        <w:rPr>
          <w:rFonts w:ascii="Arial" w:hAnsi="Arial" w:cs="Arial"/>
          <w:color w:val="auto"/>
        </w:rPr>
        <w:t>Funduszu dochód brutto wszystkich członków rodziny wspólnie zamieszkujących i</w:t>
      </w:r>
      <w:r>
        <w:rPr>
          <w:rFonts w:ascii="Arial" w:hAnsi="Arial" w:cs="Arial"/>
          <w:color w:val="auto"/>
        </w:rPr>
        <w:t> </w:t>
      </w:r>
      <w:r w:rsidR="00E722ED" w:rsidRPr="00F0151C">
        <w:rPr>
          <w:rFonts w:ascii="Arial" w:hAnsi="Arial" w:cs="Arial"/>
          <w:color w:val="auto"/>
        </w:rPr>
        <w:t xml:space="preserve">prowadzących wspólne gospodarstwo domowe z trzech miesięcy poprzedzających wniosek o uzyskanie </w:t>
      </w:r>
      <w:r w:rsidR="00E722ED" w:rsidRPr="00F0151C">
        <w:rPr>
          <w:rFonts w:ascii="Arial" w:hAnsi="Arial" w:cs="Arial"/>
          <w:color w:val="auto"/>
          <w:spacing w:val="-2"/>
        </w:rPr>
        <w:t xml:space="preserve">świadczenia socjalnego. </w:t>
      </w:r>
    </w:p>
    <w:p w14:paraId="7B6CDD96" w14:textId="0652FC4E" w:rsidR="00E722ED" w:rsidRPr="00F0151C" w:rsidRDefault="00E722ED" w:rsidP="00E722ED">
      <w:pPr>
        <w:tabs>
          <w:tab w:val="left" w:pos="426"/>
        </w:tabs>
        <w:spacing w:after="0" w:line="360" w:lineRule="auto"/>
        <w:jc w:val="both"/>
        <w:rPr>
          <w:rFonts w:ascii="Arial" w:hAnsi="Arial" w:cs="Arial"/>
          <w:color w:val="auto"/>
          <w:spacing w:val="-2"/>
        </w:rPr>
      </w:pPr>
      <w:r w:rsidRPr="00F0151C">
        <w:rPr>
          <w:rFonts w:ascii="Arial" w:hAnsi="Arial" w:cs="Arial"/>
          <w:color w:val="auto"/>
          <w:spacing w:val="-2"/>
        </w:rPr>
        <w:tab/>
        <w:t>Kontroli poddano Załącznik nr 7 do regulaminu tj. „Tabelę dopłat z ZFŚS”,  pod kątem realizowania podstawowego kryterium przyznawania świadczeń określonego w art. 8 ustawy z dnia 4 marca 1994 r. o zakładowym funduszu świadczeń socjalnych (t.j. Dz. U. z 2023 r. poz. 998 z późn. zm.) tj. wysokość dopłat z Funduszu uzależnia się od sytuacji życiowej, rodzinnej i materialnej osoby uprawnionej do korzystania z Funduszu.</w:t>
      </w:r>
      <w:r w:rsidR="007957CD" w:rsidRPr="00F0151C">
        <w:rPr>
          <w:rFonts w:ascii="Arial" w:hAnsi="Arial" w:cs="Arial"/>
          <w:color w:val="auto"/>
          <w:spacing w:val="-2"/>
        </w:rPr>
        <w:t xml:space="preserve"> </w:t>
      </w:r>
      <w:r w:rsidRPr="00F0151C">
        <w:rPr>
          <w:rFonts w:ascii="Arial" w:hAnsi="Arial" w:cs="Arial"/>
          <w:color w:val="auto"/>
          <w:spacing w:val="-2"/>
        </w:rPr>
        <w:t>W ww. załączniku wyszczególniono wysokości poszczególnych świadczeń z ZFŚS w</w:t>
      </w:r>
      <w:r w:rsidR="005D1CB8" w:rsidRPr="00F0151C">
        <w:rPr>
          <w:rFonts w:ascii="Arial" w:hAnsi="Arial" w:cs="Arial"/>
          <w:color w:val="auto"/>
          <w:spacing w:val="-2"/>
        </w:rPr>
        <w:t> </w:t>
      </w:r>
      <w:r w:rsidRPr="00F0151C">
        <w:rPr>
          <w:rFonts w:ascii="Arial" w:hAnsi="Arial" w:cs="Arial"/>
          <w:color w:val="auto"/>
          <w:spacing w:val="-2"/>
        </w:rPr>
        <w:t>zależności od wysokości dochodu (brutt</w:t>
      </w:r>
      <w:r w:rsidR="007957CD" w:rsidRPr="00F0151C">
        <w:rPr>
          <w:rFonts w:ascii="Arial" w:hAnsi="Arial" w:cs="Arial"/>
          <w:color w:val="auto"/>
          <w:spacing w:val="-2"/>
        </w:rPr>
        <w:t>o</w:t>
      </w:r>
      <w:r w:rsidRPr="00F0151C">
        <w:rPr>
          <w:rFonts w:ascii="Arial" w:hAnsi="Arial" w:cs="Arial"/>
          <w:color w:val="auto"/>
          <w:spacing w:val="-2"/>
        </w:rPr>
        <w:t xml:space="preserve">) przypadającego na jedną osobę w rodzinie. </w:t>
      </w:r>
      <w:r w:rsidRPr="00F0151C">
        <w:rPr>
          <w:rFonts w:ascii="Arial" w:hAnsi="Arial" w:cs="Arial"/>
          <w:b/>
          <w:bCs/>
          <w:color w:val="auto"/>
          <w:spacing w:val="-2"/>
        </w:rPr>
        <w:t>Zaznaczyć należy, że</w:t>
      </w:r>
      <w:r w:rsidR="004F74DE">
        <w:rPr>
          <w:rFonts w:ascii="Arial" w:hAnsi="Arial" w:cs="Arial"/>
          <w:b/>
          <w:bCs/>
          <w:color w:val="auto"/>
          <w:spacing w:val="-2"/>
        </w:rPr>
        <w:t> </w:t>
      </w:r>
      <w:r w:rsidRPr="00F0151C">
        <w:rPr>
          <w:rFonts w:ascii="Arial" w:hAnsi="Arial" w:cs="Arial"/>
          <w:b/>
          <w:bCs/>
          <w:color w:val="auto"/>
          <w:spacing w:val="-2"/>
        </w:rPr>
        <w:t>w</w:t>
      </w:r>
      <w:r w:rsidR="008F191A" w:rsidRPr="00F0151C">
        <w:rPr>
          <w:rFonts w:ascii="Arial" w:hAnsi="Arial" w:cs="Arial"/>
          <w:b/>
          <w:bCs/>
          <w:color w:val="auto"/>
          <w:spacing w:val="-2"/>
        </w:rPr>
        <w:t> </w:t>
      </w:r>
      <w:r w:rsidRPr="00F0151C">
        <w:rPr>
          <w:rFonts w:ascii="Arial" w:hAnsi="Arial" w:cs="Arial"/>
          <w:b/>
          <w:bCs/>
          <w:color w:val="auto"/>
          <w:spacing w:val="-2"/>
        </w:rPr>
        <w:t>przypadku świadczeń w postaci dofinansowania do kart podarunkowych,</w:t>
      </w:r>
      <w:r w:rsidR="008F191A" w:rsidRPr="00F0151C">
        <w:rPr>
          <w:rFonts w:ascii="Arial" w:hAnsi="Arial" w:cs="Arial"/>
          <w:b/>
          <w:bCs/>
          <w:color w:val="auto"/>
          <w:spacing w:val="-2"/>
        </w:rPr>
        <w:t xml:space="preserve"> </w:t>
      </w:r>
      <w:r w:rsidRPr="00F0151C">
        <w:rPr>
          <w:rFonts w:ascii="Arial" w:hAnsi="Arial" w:cs="Arial"/>
          <w:b/>
          <w:bCs/>
          <w:color w:val="auto"/>
          <w:spacing w:val="-2"/>
        </w:rPr>
        <w:t>bonów</w:t>
      </w:r>
      <w:r w:rsidR="008F191A" w:rsidRPr="00F0151C">
        <w:rPr>
          <w:rFonts w:ascii="Arial" w:hAnsi="Arial" w:cs="Arial"/>
          <w:b/>
          <w:bCs/>
          <w:color w:val="auto"/>
          <w:spacing w:val="-2"/>
        </w:rPr>
        <w:t xml:space="preserve"> </w:t>
      </w:r>
      <w:r w:rsidRPr="00F0151C">
        <w:rPr>
          <w:rFonts w:ascii="Arial" w:hAnsi="Arial" w:cs="Arial"/>
          <w:b/>
          <w:bCs/>
          <w:color w:val="auto"/>
          <w:spacing w:val="-2"/>
        </w:rPr>
        <w:lastRenderedPageBreak/>
        <w:t>towarowych, paczek dla dzieci oraz biletów na imprezy kulturalno – oświatowe i</w:t>
      </w:r>
      <w:r w:rsidR="008F191A" w:rsidRPr="00F0151C">
        <w:rPr>
          <w:rFonts w:ascii="Arial" w:hAnsi="Arial" w:cs="Arial"/>
          <w:b/>
          <w:bCs/>
          <w:color w:val="auto"/>
          <w:spacing w:val="-2"/>
        </w:rPr>
        <w:t> </w:t>
      </w:r>
      <w:r w:rsidRPr="00F0151C">
        <w:rPr>
          <w:rFonts w:ascii="Arial" w:hAnsi="Arial" w:cs="Arial"/>
          <w:b/>
          <w:bCs/>
          <w:color w:val="auto"/>
          <w:spacing w:val="-2"/>
        </w:rPr>
        <w:t>sportowo – rekreacyjne trudno uznać, że wysokość świadczenia uzależniona jest od kryterium dochodowego co prezentuje poniższa tabela:</w:t>
      </w:r>
    </w:p>
    <w:tbl>
      <w:tblPr>
        <w:tblStyle w:val="Tabela-Siatka4"/>
        <w:tblW w:w="8919" w:type="dxa"/>
        <w:tblLook w:val="04A0" w:firstRow="1" w:lastRow="0" w:firstColumn="1" w:lastColumn="0" w:noHBand="0" w:noVBand="1"/>
      </w:tblPr>
      <w:tblGrid>
        <w:gridCol w:w="1696"/>
        <w:gridCol w:w="2268"/>
        <w:gridCol w:w="7"/>
        <w:gridCol w:w="2120"/>
        <w:gridCol w:w="992"/>
        <w:gridCol w:w="1836"/>
      </w:tblGrid>
      <w:tr w:rsidR="00F0151C" w:rsidRPr="00F0151C" w14:paraId="3E4FC76A" w14:textId="77777777" w:rsidTr="007957CD">
        <w:trPr>
          <w:trHeight w:val="340"/>
        </w:trPr>
        <w:tc>
          <w:tcPr>
            <w:tcW w:w="1696" w:type="dxa"/>
            <w:shd w:val="clear" w:color="auto" w:fill="D9D9D9"/>
            <w:vAlign w:val="center"/>
          </w:tcPr>
          <w:p w14:paraId="1A7DC44C" w14:textId="141ADA0C"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Wysokość</w:t>
            </w:r>
            <w:r w:rsidR="005D1CB8" w:rsidRPr="00F0151C">
              <w:rPr>
                <w:rFonts w:ascii="Arial" w:hAnsi="Arial" w:cs="Arial"/>
                <w:b/>
                <w:bCs/>
                <w:color w:val="auto"/>
                <w:spacing w:val="-2"/>
                <w:sz w:val="16"/>
                <w:szCs w:val="16"/>
              </w:rPr>
              <w:t xml:space="preserve"> </w:t>
            </w:r>
            <w:r w:rsidRPr="00F0151C">
              <w:rPr>
                <w:rFonts w:ascii="Arial" w:hAnsi="Arial" w:cs="Arial"/>
                <w:b/>
                <w:bCs/>
                <w:color w:val="auto"/>
                <w:spacing w:val="-2"/>
                <w:sz w:val="16"/>
                <w:szCs w:val="16"/>
              </w:rPr>
              <w:t>dochodu (brutto) przypadający na 1 osobę w rodzinie</w:t>
            </w:r>
          </w:p>
        </w:tc>
        <w:tc>
          <w:tcPr>
            <w:tcW w:w="2268" w:type="dxa"/>
            <w:shd w:val="clear" w:color="auto" w:fill="D9D9D9"/>
            <w:vAlign w:val="center"/>
          </w:tcPr>
          <w:p w14:paraId="65E05460"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Karty podarunkowe</w:t>
            </w:r>
          </w:p>
        </w:tc>
        <w:tc>
          <w:tcPr>
            <w:tcW w:w="2127" w:type="dxa"/>
            <w:gridSpan w:val="2"/>
            <w:shd w:val="clear" w:color="auto" w:fill="D9D9D9"/>
            <w:vAlign w:val="center"/>
          </w:tcPr>
          <w:p w14:paraId="6A11CCA0"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Bony towarowe</w:t>
            </w:r>
          </w:p>
        </w:tc>
        <w:tc>
          <w:tcPr>
            <w:tcW w:w="992" w:type="dxa"/>
            <w:shd w:val="clear" w:color="auto" w:fill="D9D9D9"/>
            <w:vAlign w:val="center"/>
          </w:tcPr>
          <w:p w14:paraId="47E40997"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Paczki dla dzieci</w:t>
            </w:r>
          </w:p>
        </w:tc>
        <w:tc>
          <w:tcPr>
            <w:tcW w:w="1836" w:type="dxa"/>
            <w:shd w:val="clear" w:color="auto" w:fill="D9D9D9"/>
            <w:vAlign w:val="center"/>
          </w:tcPr>
          <w:p w14:paraId="1250BC2D" w14:textId="652BBDBF"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 xml:space="preserve">Bilety na imprezy kulturalne i sportowe </w:t>
            </w:r>
            <w:r w:rsidR="005D1CB8" w:rsidRPr="00F0151C">
              <w:rPr>
                <w:rFonts w:ascii="Arial" w:hAnsi="Arial" w:cs="Arial"/>
                <w:b/>
                <w:bCs/>
                <w:color w:val="auto"/>
                <w:spacing w:val="-2"/>
                <w:sz w:val="16"/>
                <w:szCs w:val="16"/>
              </w:rPr>
              <w:br/>
            </w:r>
            <w:r w:rsidRPr="00F0151C">
              <w:rPr>
                <w:rFonts w:ascii="Arial" w:hAnsi="Arial" w:cs="Arial"/>
                <w:b/>
                <w:bCs/>
                <w:color w:val="auto"/>
                <w:spacing w:val="-2"/>
                <w:sz w:val="16"/>
                <w:szCs w:val="16"/>
              </w:rPr>
              <w:t>(%</w:t>
            </w:r>
            <w:r w:rsidR="005D1CB8" w:rsidRPr="00F0151C">
              <w:rPr>
                <w:rFonts w:ascii="Arial" w:hAnsi="Arial" w:cs="Arial"/>
                <w:b/>
                <w:bCs/>
                <w:color w:val="auto"/>
                <w:spacing w:val="-2"/>
                <w:sz w:val="16"/>
                <w:szCs w:val="16"/>
              </w:rPr>
              <w:t xml:space="preserve"> </w:t>
            </w:r>
            <w:r w:rsidRPr="00F0151C">
              <w:rPr>
                <w:rFonts w:ascii="Arial" w:hAnsi="Arial" w:cs="Arial"/>
                <w:b/>
                <w:bCs/>
                <w:color w:val="auto"/>
                <w:spacing w:val="-2"/>
                <w:sz w:val="16"/>
                <w:szCs w:val="16"/>
              </w:rPr>
              <w:t>kosztów całkowitych)</w:t>
            </w:r>
          </w:p>
        </w:tc>
      </w:tr>
      <w:tr w:rsidR="00F0151C" w:rsidRPr="00F0151C" w14:paraId="58D7159F" w14:textId="77777777" w:rsidTr="007957CD">
        <w:trPr>
          <w:trHeight w:val="376"/>
        </w:trPr>
        <w:tc>
          <w:tcPr>
            <w:tcW w:w="1696" w:type="dxa"/>
            <w:shd w:val="clear" w:color="auto" w:fill="D9D9D9"/>
            <w:vAlign w:val="center"/>
          </w:tcPr>
          <w:p w14:paraId="15A208C6" w14:textId="77777777" w:rsidR="00E722ED" w:rsidRPr="00F0151C" w:rsidRDefault="00E722ED" w:rsidP="005D1CB8">
            <w:pPr>
              <w:tabs>
                <w:tab w:val="left" w:pos="426"/>
              </w:tabs>
              <w:jc w:val="both"/>
              <w:rPr>
                <w:rFonts w:ascii="Arial" w:hAnsi="Arial" w:cs="Arial"/>
                <w:color w:val="auto"/>
                <w:spacing w:val="-2"/>
                <w:sz w:val="16"/>
                <w:szCs w:val="16"/>
              </w:rPr>
            </w:pPr>
            <w:bookmarkStart w:id="25" w:name="_Hlk145498960"/>
            <w:r w:rsidRPr="00F0151C">
              <w:rPr>
                <w:rFonts w:ascii="Arial" w:hAnsi="Arial" w:cs="Arial"/>
                <w:color w:val="auto"/>
                <w:spacing w:val="-2"/>
                <w:sz w:val="16"/>
                <w:szCs w:val="16"/>
              </w:rPr>
              <w:t>Do 800</w:t>
            </w:r>
          </w:p>
        </w:tc>
        <w:tc>
          <w:tcPr>
            <w:tcW w:w="2275" w:type="dxa"/>
            <w:gridSpan w:val="2"/>
            <w:vAlign w:val="center"/>
          </w:tcPr>
          <w:p w14:paraId="0437508D"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Do 9-krotności 10 zł karty</w:t>
            </w:r>
          </w:p>
        </w:tc>
        <w:tc>
          <w:tcPr>
            <w:tcW w:w="2120" w:type="dxa"/>
            <w:vAlign w:val="center"/>
          </w:tcPr>
          <w:p w14:paraId="5919E2AD"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9-krotności 10 zł bonu</w:t>
            </w:r>
          </w:p>
        </w:tc>
        <w:tc>
          <w:tcPr>
            <w:tcW w:w="992" w:type="dxa"/>
            <w:vAlign w:val="center"/>
          </w:tcPr>
          <w:p w14:paraId="5119DC31"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80 zł</w:t>
            </w:r>
          </w:p>
        </w:tc>
        <w:tc>
          <w:tcPr>
            <w:tcW w:w="1836" w:type="dxa"/>
            <w:vAlign w:val="center"/>
          </w:tcPr>
          <w:p w14:paraId="6821195E"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95 %</w:t>
            </w:r>
          </w:p>
        </w:tc>
      </w:tr>
      <w:tr w:rsidR="00F0151C" w:rsidRPr="00F0151C" w14:paraId="7C4FB73D" w14:textId="77777777" w:rsidTr="007957CD">
        <w:trPr>
          <w:trHeight w:val="340"/>
        </w:trPr>
        <w:tc>
          <w:tcPr>
            <w:tcW w:w="1696" w:type="dxa"/>
            <w:shd w:val="clear" w:color="auto" w:fill="D9D9D9"/>
            <w:vAlign w:val="center"/>
          </w:tcPr>
          <w:p w14:paraId="4E6552DF" w14:textId="77777777" w:rsidR="00E722ED" w:rsidRPr="00F0151C" w:rsidRDefault="00E722ED" w:rsidP="005D1CB8">
            <w:pPr>
              <w:tabs>
                <w:tab w:val="left" w:pos="426"/>
              </w:tabs>
              <w:jc w:val="both"/>
              <w:rPr>
                <w:rFonts w:ascii="Arial" w:hAnsi="Arial" w:cs="Arial"/>
                <w:color w:val="auto"/>
                <w:spacing w:val="-2"/>
                <w:sz w:val="16"/>
                <w:szCs w:val="16"/>
              </w:rPr>
            </w:pPr>
            <w:r w:rsidRPr="00F0151C">
              <w:rPr>
                <w:rFonts w:ascii="Arial" w:hAnsi="Arial" w:cs="Arial"/>
                <w:color w:val="auto"/>
                <w:spacing w:val="-2"/>
                <w:sz w:val="16"/>
                <w:szCs w:val="16"/>
              </w:rPr>
              <w:t>Od 801 do 905</w:t>
            </w:r>
          </w:p>
        </w:tc>
        <w:tc>
          <w:tcPr>
            <w:tcW w:w="2268" w:type="dxa"/>
            <w:vAlign w:val="center"/>
          </w:tcPr>
          <w:p w14:paraId="2029143F"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Do 7-krotności 10 zł karty</w:t>
            </w:r>
          </w:p>
        </w:tc>
        <w:tc>
          <w:tcPr>
            <w:tcW w:w="2127" w:type="dxa"/>
            <w:gridSpan w:val="2"/>
            <w:vAlign w:val="center"/>
          </w:tcPr>
          <w:p w14:paraId="62FA898E" w14:textId="7719F5C5"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7-krotności 10</w:t>
            </w:r>
            <w:r w:rsidR="00A67842" w:rsidRPr="00F0151C">
              <w:rPr>
                <w:rFonts w:ascii="Arial" w:eastAsia="Calibri" w:hAnsi="Arial" w:cs="Arial"/>
                <w:b/>
                <w:bCs/>
                <w:color w:val="auto"/>
                <w:sz w:val="16"/>
                <w:szCs w:val="16"/>
                <w:lang w:eastAsia="en-US"/>
              </w:rPr>
              <w:t> </w:t>
            </w:r>
            <w:r w:rsidRPr="00F0151C">
              <w:rPr>
                <w:rFonts w:ascii="Arial" w:eastAsia="Calibri" w:hAnsi="Arial" w:cs="Arial"/>
                <w:b/>
                <w:bCs/>
                <w:color w:val="auto"/>
                <w:sz w:val="16"/>
                <w:szCs w:val="16"/>
                <w:lang w:eastAsia="en-US"/>
              </w:rPr>
              <w:t>zł bonu</w:t>
            </w:r>
          </w:p>
        </w:tc>
        <w:tc>
          <w:tcPr>
            <w:tcW w:w="992" w:type="dxa"/>
            <w:vAlign w:val="center"/>
          </w:tcPr>
          <w:p w14:paraId="407BF02A"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80 zł</w:t>
            </w:r>
          </w:p>
        </w:tc>
        <w:tc>
          <w:tcPr>
            <w:tcW w:w="1836" w:type="dxa"/>
            <w:vAlign w:val="center"/>
          </w:tcPr>
          <w:p w14:paraId="6DB96474"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95 %</w:t>
            </w:r>
          </w:p>
        </w:tc>
      </w:tr>
      <w:tr w:rsidR="00F0151C" w:rsidRPr="00F0151C" w14:paraId="037B72F9" w14:textId="77777777" w:rsidTr="007957CD">
        <w:trPr>
          <w:trHeight w:val="340"/>
        </w:trPr>
        <w:tc>
          <w:tcPr>
            <w:tcW w:w="1696" w:type="dxa"/>
            <w:shd w:val="clear" w:color="auto" w:fill="D9D9D9"/>
            <w:vAlign w:val="center"/>
          </w:tcPr>
          <w:p w14:paraId="19359E2B" w14:textId="77777777" w:rsidR="00E722ED" w:rsidRPr="00F0151C" w:rsidRDefault="00E722ED" w:rsidP="005D1CB8">
            <w:pPr>
              <w:tabs>
                <w:tab w:val="left" w:pos="426"/>
              </w:tabs>
              <w:jc w:val="both"/>
              <w:rPr>
                <w:rFonts w:ascii="Arial" w:hAnsi="Arial" w:cs="Arial"/>
                <w:color w:val="auto"/>
                <w:spacing w:val="-2"/>
                <w:sz w:val="16"/>
                <w:szCs w:val="16"/>
              </w:rPr>
            </w:pPr>
            <w:r w:rsidRPr="00F0151C">
              <w:rPr>
                <w:rFonts w:ascii="Arial" w:hAnsi="Arial" w:cs="Arial"/>
                <w:color w:val="auto"/>
                <w:spacing w:val="-2"/>
                <w:sz w:val="16"/>
                <w:szCs w:val="16"/>
              </w:rPr>
              <w:t>Od 906 do 1 352</w:t>
            </w:r>
          </w:p>
        </w:tc>
        <w:tc>
          <w:tcPr>
            <w:tcW w:w="2268" w:type="dxa"/>
            <w:vAlign w:val="center"/>
          </w:tcPr>
          <w:p w14:paraId="3901869A"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Do 7-krotności 10 zł karty</w:t>
            </w:r>
          </w:p>
        </w:tc>
        <w:tc>
          <w:tcPr>
            <w:tcW w:w="2127" w:type="dxa"/>
            <w:gridSpan w:val="2"/>
            <w:vAlign w:val="center"/>
          </w:tcPr>
          <w:p w14:paraId="0A959784" w14:textId="3F837D6C"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7-krotności 10</w:t>
            </w:r>
            <w:r w:rsidR="00A67842" w:rsidRPr="00F0151C">
              <w:rPr>
                <w:rFonts w:ascii="Arial" w:eastAsia="Calibri" w:hAnsi="Arial" w:cs="Arial"/>
                <w:b/>
                <w:bCs/>
                <w:color w:val="auto"/>
                <w:sz w:val="16"/>
                <w:szCs w:val="16"/>
                <w:lang w:eastAsia="en-US"/>
              </w:rPr>
              <w:t> </w:t>
            </w:r>
            <w:r w:rsidRPr="00F0151C">
              <w:rPr>
                <w:rFonts w:ascii="Arial" w:eastAsia="Calibri" w:hAnsi="Arial" w:cs="Arial"/>
                <w:b/>
                <w:bCs/>
                <w:color w:val="auto"/>
                <w:sz w:val="16"/>
                <w:szCs w:val="16"/>
                <w:lang w:eastAsia="en-US"/>
              </w:rPr>
              <w:t>zł bonu</w:t>
            </w:r>
          </w:p>
        </w:tc>
        <w:tc>
          <w:tcPr>
            <w:tcW w:w="992" w:type="dxa"/>
            <w:vAlign w:val="center"/>
          </w:tcPr>
          <w:p w14:paraId="27E26711"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80 zł</w:t>
            </w:r>
          </w:p>
        </w:tc>
        <w:tc>
          <w:tcPr>
            <w:tcW w:w="1836" w:type="dxa"/>
            <w:vAlign w:val="center"/>
          </w:tcPr>
          <w:p w14:paraId="3398AEEC"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95 %</w:t>
            </w:r>
          </w:p>
        </w:tc>
      </w:tr>
      <w:tr w:rsidR="00F0151C" w:rsidRPr="00F0151C" w14:paraId="7B201697" w14:textId="77777777" w:rsidTr="007957CD">
        <w:trPr>
          <w:trHeight w:val="340"/>
        </w:trPr>
        <w:tc>
          <w:tcPr>
            <w:tcW w:w="1696" w:type="dxa"/>
            <w:shd w:val="clear" w:color="auto" w:fill="D9D9D9"/>
            <w:vAlign w:val="center"/>
          </w:tcPr>
          <w:p w14:paraId="31F668C4" w14:textId="77777777" w:rsidR="00E722ED" w:rsidRPr="00F0151C" w:rsidRDefault="00E722ED" w:rsidP="005D1CB8">
            <w:pPr>
              <w:tabs>
                <w:tab w:val="left" w:pos="426"/>
              </w:tabs>
              <w:jc w:val="both"/>
              <w:rPr>
                <w:rFonts w:ascii="Arial" w:hAnsi="Arial" w:cs="Arial"/>
                <w:color w:val="auto"/>
                <w:spacing w:val="-2"/>
                <w:sz w:val="16"/>
                <w:szCs w:val="16"/>
              </w:rPr>
            </w:pPr>
            <w:r w:rsidRPr="00F0151C">
              <w:rPr>
                <w:rFonts w:ascii="Arial" w:hAnsi="Arial" w:cs="Arial"/>
                <w:color w:val="auto"/>
                <w:spacing w:val="-2"/>
                <w:sz w:val="16"/>
                <w:szCs w:val="16"/>
              </w:rPr>
              <w:t>Od 1 353 do 1 570</w:t>
            </w:r>
          </w:p>
        </w:tc>
        <w:tc>
          <w:tcPr>
            <w:tcW w:w="2268" w:type="dxa"/>
            <w:vAlign w:val="center"/>
          </w:tcPr>
          <w:p w14:paraId="551DE46B"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Do 7-krotności 10 zł karty</w:t>
            </w:r>
          </w:p>
        </w:tc>
        <w:tc>
          <w:tcPr>
            <w:tcW w:w="2127" w:type="dxa"/>
            <w:gridSpan w:val="2"/>
            <w:vAlign w:val="center"/>
          </w:tcPr>
          <w:p w14:paraId="76D0C611" w14:textId="78E82F8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7-krotności 10</w:t>
            </w:r>
            <w:r w:rsidR="00A67842" w:rsidRPr="00F0151C">
              <w:rPr>
                <w:rFonts w:ascii="Arial" w:eastAsia="Calibri" w:hAnsi="Arial" w:cs="Arial"/>
                <w:b/>
                <w:bCs/>
                <w:color w:val="auto"/>
                <w:sz w:val="16"/>
                <w:szCs w:val="16"/>
                <w:lang w:eastAsia="en-US"/>
              </w:rPr>
              <w:t> </w:t>
            </w:r>
            <w:r w:rsidRPr="00F0151C">
              <w:rPr>
                <w:rFonts w:ascii="Arial" w:eastAsia="Calibri" w:hAnsi="Arial" w:cs="Arial"/>
                <w:b/>
                <w:bCs/>
                <w:color w:val="auto"/>
                <w:sz w:val="16"/>
                <w:szCs w:val="16"/>
                <w:lang w:eastAsia="en-US"/>
              </w:rPr>
              <w:t>zł bonu</w:t>
            </w:r>
          </w:p>
        </w:tc>
        <w:tc>
          <w:tcPr>
            <w:tcW w:w="992" w:type="dxa"/>
            <w:vAlign w:val="center"/>
          </w:tcPr>
          <w:p w14:paraId="424B7B47"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80 zł</w:t>
            </w:r>
          </w:p>
        </w:tc>
        <w:tc>
          <w:tcPr>
            <w:tcW w:w="1836" w:type="dxa"/>
            <w:vAlign w:val="center"/>
          </w:tcPr>
          <w:p w14:paraId="64C52B6E"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95 %</w:t>
            </w:r>
          </w:p>
        </w:tc>
      </w:tr>
      <w:tr w:rsidR="00F0151C" w:rsidRPr="00F0151C" w14:paraId="0F88DD4C" w14:textId="77777777" w:rsidTr="007957CD">
        <w:trPr>
          <w:trHeight w:val="340"/>
        </w:trPr>
        <w:tc>
          <w:tcPr>
            <w:tcW w:w="1696" w:type="dxa"/>
            <w:shd w:val="clear" w:color="auto" w:fill="D9D9D9"/>
            <w:vAlign w:val="center"/>
          </w:tcPr>
          <w:p w14:paraId="190F93D2" w14:textId="77777777" w:rsidR="00E722ED" w:rsidRPr="00F0151C" w:rsidRDefault="00E722ED" w:rsidP="005D1CB8">
            <w:pPr>
              <w:tabs>
                <w:tab w:val="left" w:pos="426"/>
              </w:tabs>
              <w:jc w:val="both"/>
              <w:rPr>
                <w:rFonts w:ascii="Arial" w:hAnsi="Arial" w:cs="Arial"/>
                <w:color w:val="auto"/>
                <w:spacing w:val="-2"/>
                <w:sz w:val="16"/>
                <w:szCs w:val="16"/>
              </w:rPr>
            </w:pPr>
            <w:r w:rsidRPr="00F0151C">
              <w:rPr>
                <w:rFonts w:ascii="Arial" w:hAnsi="Arial" w:cs="Arial"/>
                <w:color w:val="auto"/>
                <w:spacing w:val="-2"/>
                <w:sz w:val="16"/>
                <w:szCs w:val="16"/>
              </w:rPr>
              <w:t>Od 1 571 do 2 018</w:t>
            </w:r>
          </w:p>
        </w:tc>
        <w:tc>
          <w:tcPr>
            <w:tcW w:w="2268" w:type="dxa"/>
            <w:vAlign w:val="center"/>
          </w:tcPr>
          <w:p w14:paraId="05A6A799"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Do 7-krotności 10 zł karty</w:t>
            </w:r>
          </w:p>
        </w:tc>
        <w:tc>
          <w:tcPr>
            <w:tcW w:w="2127" w:type="dxa"/>
            <w:gridSpan w:val="2"/>
            <w:vAlign w:val="center"/>
          </w:tcPr>
          <w:p w14:paraId="657856EC" w14:textId="4DC285E1"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7-krotności 10</w:t>
            </w:r>
            <w:r w:rsidR="00A67842" w:rsidRPr="00F0151C">
              <w:rPr>
                <w:rFonts w:ascii="Arial" w:eastAsia="Calibri" w:hAnsi="Arial" w:cs="Arial"/>
                <w:b/>
                <w:bCs/>
                <w:color w:val="auto"/>
                <w:sz w:val="16"/>
                <w:szCs w:val="16"/>
                <w:lang w:eastAsia="en-US"/>
              </w:rPr>
              <w:t> </w:t>
            </w:r>
            <w:r w:rsidRPr="00F0151C">
              <w:rPr>
                <w:rFonts w:ascii="Arial" w:eastAsia="Calibri" w:hAnsi="Arial" w:cs="Arial"/>
                <w:b/>
                <w:bCs/>
                <w:color w:val="auto"/>
                <w:sz w:val="16"/>
                <w:szCs w:val="16"/>
                <w:lang w:eastAsia="en-US"/>
              </w:rPr>
              <w:t>zł bonu</w:t>
            </w:r>
          </w:p>
        </w:tc>
        <w:tc>
          <w:tcPr>
            <w:tcW w:w="992" w:type="dxa"/>
            <w:vAlign w:val="center"/>
          </w:tcPr>
          <w:p w14:paraId="54AB7A5E"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80 zł</w:t>
            </w:r>
          </w:p>
        </w:tc>
        <w:tc>
          <w:tcPr>
            <w:tcW w:w="1836" w:type="dxa"/>
            <w:vAlign w:val="center"/>
          </w:tcPr>
          <w:p w14:paraId="518251CC"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95 %</w:t>
            </w:r>
          </w:p>
        </w:tc>
      </w:tr>
      <w:tr w:rsidR="00F0151C" w:rsidRPr="00F0151C" w14:paraId="1D683C67" w14:textId="77777777" w:rsidTr="007957CD">
        <w:trPr>
          <w:trHeight w:val="340"/>
        </w:trPr>
        <w:tc>
          <w:tcPr>
            <w:tcW w:w="1696" w:type="dxa"/>
            <w:shd w:val="clear" w:color="auto" w:fill="D9D9D9"/>
            <w:vAlign w:val="center"/>
          </w:tcPr>
          <w:p w14:paraId="109E6C74" w14:textId="77777777" w:rsidR="00E722ED" w:rsidRPr="00F0151C" w:rsidRDefault="00E722ED" w:rsidP="005D1CB8">
            <w:pPr>
              <w:tabs>
                <w:tab w:val="left" w:pos="426"/>
              </w:tabs>
              <w:jc w:val="both"/>
              <w:rPr>
                <w:rFonts w:ascii="Arial" w:hAnsi="Arial" w:cs="Arial"/>
                <w:color w:val="auto"/>
                <w:spacing w:val="-2"/>
                <w:sz w:val="16"/>
                <w:szCs w:val="16"/>
              </w:rPr>
            </w:pPr>
            <w:r w:rsidRPr="00F0151C">
              <w:rPr>
                <w:rFonts w:ascii="Arial" w:hAnsi="Arial" w:cs="Arial"/>
                <w:color w:val="auto"/>
                <w:spacing w:val="-2"/>
                <w:sz w:val="16"/>
                <w:szCs w:val="16"/>
              </w:rPr>
              <w:t>Od 2 019 do 2 360</w:t>
            </w:r>
          </w:p>
        </w:tc>
        <w:tc>
          <w:tcPr>
            <w:tcW w:w="2268" w:type="dxa"/>
            <w:vAlign w:val="center"/>
          </w:tcPr>
          <w:p w14:paraId="28B34854"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Do 7-krotności 10 zł karty</w:t>
            </w:r>
          </w:p>
        </w:tc>
        <w:tc>
          <w:tcPr>
            <w:tcW w:w="2127" w:type="dxa"/>
            <w:gridSpan w:val="2"/>
            <w:vAlign w:val="center"/>
          </w:tcPr>
          <w:p w14:paraId="00EA7C1C" w14:textId="49CF95D1"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7-krotności 10</w:t>
            </w:r>
            <w:r w:rsidR="00A67842" w:rsidRPr="00F0151C">
              <w:rPr>
                <w:rFonts w:ascii="Arial" w:eastAsia="Calibri" w:hAnsi="Arial" w:cs="Arial"/>
                <w:b/>
                <w:bCs/>
                <w:color w:val="auto"/>
                <w:sz w:val="16"/>
                <w:szCs w:val="16"/>
                <w:lang w:eastAsia="en-US"/>
              </w:rPr>
              <w:t> </w:t>
            </w:r>
            <w:r w:rsidRPr="00F0151C">
              <w:rPr>
                <w:rFonts w:ascii="Arial" w:eastAsia="Calibri" w:hAnsi="Arial" w:cs="Arial"/>
                <w:b/>
                <w:bCs/>
                <w:color w:val="auto"/>
                <w:sz w:val="16"/>
                <w:szCs w:val="16"/>
                <w:lang w:eastAsia="en-US"/>
              </w:rPr>
              <w:t>zł bonu</w:t>
            </w:r>
          </w:p>
        </w:tc>
        <w:tc>
          <w:tcPr>
            <w:tcW w:w="992" w:type="dxa"/>
            <w:vAlign w:val="center"/>
          </w:tcPr>
          <w:p w14:paraId="3EA7FD7D"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80 zł</w:t>
            </w:r>
          </w:p>
        </w:tc>
        <w:tc>
          <w:tcPr>
            <w:tcW w:w="1836" w:type="dxa"/>
            <w:vAlign w:val="center"/>
          </w:tcPr>
          <w:p w14:paraId="4DB46A8B"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95 %</w:t>
            </w:r>
          </w:p>
        </w:tc>
      </w:tr>
      <w:tr w:rsidR="00F0151C" w:rsidRPr="00F0151C" w14:paraId="2D46E367" w14:textId="77777777" w:rsidTr="007957CD">
        <w:trPr>
          <w:trHeight w:val="340"/>
        </w:trPr>
        <w:tc>
          <w:tcPr>
            <w:tcW w:w="1696" w:type="dxa"/>
            <w:shd w:val="clear" w:color="auto" w:fill="D9D9D9"/>
            <w:vAlign w:val="center"/>
          </w:tcPr>
          <w:p w14:paraId="42E1F018" w14:textId="77777777" w:rsidR="00E722ED" w:rsidRPr="00F0151C" w:rsidRDefault="00E722ED" w:rsidP="005D1CB8">
            <w:pPr>
              <w:tabs>
                <w:tab w:val="left" w:pos="426"/>
              </w:tabs>
              <w:jc w:val="both"/>
              <w:rPr>
                <w:rFonts w:ascii="Arial" w:hAnsi="Arial" w:cs="Arial"/>
                <w:color w:val="auto"/>
                <w:spacing w:val="-2"/>
                <w:sz w:val="16"/>
                <w:szCs w:val="16"/>
              </w:rPr>
            </w:pPr>
            <w:r w:rsidRPr="00F0151C">
              <w:rPr>
                <w:rFonts w:ascii="Arial" w:hAnsi="Arial" w:cs="Arial"/>
                <w:color w:val="auto"/>
                <w:spacing w:val="-2"/>
                <w:sz w:val="16"/>
                <w:szCs w:val="16"/>
              </w:rPr>
              <w:t>Powyżej 2 361</w:t>
            </w:r>
          </w:p>
        </w:tc>
        <w:tc>
          <w:tcPr>
            <w:tcW w:w="2268" w:type="dxa"/>
            <w:vAlign w:val="center"/>
          </w:tcPr>
          <w:p w14:paraId="70C496CB"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Do 7-krotności 10 zł karty</w:t>
            </w:r>
          </w:p>
        </w:tc>
        <w:tc>
          <w:tcPr>
            <w:tcW w:w="2127" w:type="dxa"/>
            <w:gridSpan w:val="2"/>
            <w:vAlign w:val="center"/>
          </w:tcPr>
          <w:p w14:paraId="40D9CDED" w14:textId="68780E2B"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7-krotności 10</w:t>
            </w:r>
            <w:r w:rsidR="00A67842" w:rsidRPr="00F0151C">
              <w:rPr>
                <w:rFonts w:ascii="Arial" w:eastAsia="Calibri" w:hAnsi="Arial" w:cs="Arial"/>
                <w:b/>
                <w:bCs/>
                <w:color w:val="auto"/>
                <w:sz w:val="16"/>
                <w:szCs w:val="16"/>
                <w:lang w:eastAsia="en-US"/>
              </w:rPr>
              <w:t> </w:t>
            </w:r>
            <w:r w:rsidRPr="00F0151C">
              <w:rPr>
                <w:rFonts w:ascii="Arial" w:eastAsia="Calibri" w:hAnsi="Arial" w:cs="Arial"/>
                <w:b/>
                <w:bCs/>
                <w:color w:val="auto"/>
                <w:sz w:val="16"/>
                <w:szCs w:val="16"/>
                <w:lang w:eastAsia="en-US"/>
              </w:rPr>
              <w:t>zł bonu</w:t>
            </w:r>
          </w:p>
        </w:tc>
        <w:tc>
          <w:tcPr>
            <w:tcW w:w="992" w:type="dxa"/>
            <w:vAlign w:val="center"/>
          </w:tcPr>
          <w:p w14:paraId="7EBDD163"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hAnsi="Arial" w:cs="Arial"/>
                <w:b/>
                <w:bCs/>
                <w:color w:val="auto"/>
                <w:spacing w:val="-2"/>
                <w:sz w:val="16"/>
                <w:szCs w:val="16"/>
              </w:rPr>
              <w:t>77 zł</w:t>
            </w:r>
          </w:p>
        </w:tc>
        <w:tc>
          <w:tcPr>
            <w:tcW w:w="1836" w:type="dxa"/>
            <w:vAlign w:val="center"/>
          </w:tcPr>
          <w:p w14:paraId="5316D06E" w14:textId="77777777" w:rsidR="00E722ED" w:rsidRPr="00F0151C" w:rsidRDefault="00E722ED" w:rsidP="005D1CB8">
            <w:pPr>
              <w:tabs>
                <w:tab w:val="left" w:pos="426"/>
              </w:tabs>
              <w:jc w:val="center"/>
              <w:rPr>
                <w:rFonts w:ascii="Arial" w:hAnsi="Arial" w:cs="Arial"/>
                <w:b/>
                <w:bCs/>
                <w:color w:val="auto"/>
                <w:spacing w:val="-2"/>
                <w:sz w:val="16"/>
                <w:szCs w:val="16"/>
              </w:rPr>
            </w:pPr>
            <w:r w:rsidRPr="00F0151C">
              <w:rPr>
                <w:rFonts w:ascii="Arial" w:eastAsia="Calibri" w:hAnsi="Arial" w:cs="Arial"/>
                <w:b/>
                <w:bCs/>
                <w:color w:val="auto"/>
                <w:sz w:val="16"/>
                <w:szCs w:val="16"/>
                <w:lang w:eastAsia="en-US"/>
              </w:rPr>
              <w:t>Do 95 %</w:t>
            </w:r>
          </w:p>
        </w:tc>
      </w:tr>
      <w:bookmarkEnd w:id="25"/>
    </w:tbl>
    <w:p w14:paraId="138EBF49" w14:textId="77777777" w:rsidR="00E722ED" w:rsidRPr="00F0151C" w:rsidRDefault="00E722ED" w:rsidP="00E722ED">
      <w:pPr>
        <w:tabs>
          <w:tab w:val="left" w:pos="426"/>
        </w:tabs>
        <w:spacing w:after="0" w:line="360" w:lineRule="auto"/>
        <w:jc w:val="both"/>
        <w:rPr>
          <w:color w:val="auto"/>
          <w:spacing w:val="-2"/>
          <w:sz w:val="10"/>
          <w:szCs w:val="10"/>
        </w:rPr>
      </w:pPr>
    </w:p>
    <w:p w14:paraId="664D1754" w14:textId="77777777" w:rsidR="00E722ED" w:rsidRPr="00F0151C" w:rsidRDefault="00E722ED" w:rsidP="00E722ED">
      <w:pPr>
        <w:tabs>
          <w:tab w:val="left" w:pos="426"/>
        </w:tabs>
        <w:spacing w:after="0" w:line="360" w:lineRule="auto"/>
        <w:jc w:val="both"/>
        <w:rPr>
          <w:rFonts w:ascii="Arial" w:hAnsi="Arial" w:cs="Arial"/>
          <w:color w:val="auto"/>
          <w:spacing w:val="-2"/>
        </w:rPr>
      </w:pPr>
      <w:r w:rsidRPr="00F0151C">
        <w:rPr>
          <w:rFonts w:ascii="Arial" w:hAnsi="Arial" w:cs="Arial"/>
          <w:color w:val="auto"/>
          <w:spacing w:val="-2"/>
        </w:rPr>
        <w:t xml:space="preserve">Jak wynika z powyższej tabeli  zmiany w wysokościach dofinansowania każdego z świadczeń  wprowadzono w zaledwie jednym kryterium dochodowym lub wcale jak w przypadku biletów. Ponadto, kwoty dofinansowania wykazane w powyższej tabeli nie zostały ustalone w sposób jednoznaczny tylko w formie przedziału. </w:t>
      </w:r>
      <w:r w:rsidRPr="00F0151C">
        <w:rPr>
          <w:rFonts w:ascii="Arial" w:hAnsi="Arial" w:cs="Arial"/>
          <w:b/>
          <w:bCs/>
          <w:color w:val="auto"/>
          <w:spacing w:val="-2"/>
        </w:rPr>
        <w:t>Wprowadzenie takich uregulowań może oznaczać, że osoby znajdujące się w różnych progach dochodowych otrzymają tę samą kwotę dofinansowania, co również jest niezgodne z podstawowym kryterium przyznawania świadczeń z ZFŚS określonym w art. 8 ustawy o zakładowym funduszu świadczeń socjalnych, który przytoczono powyżej.</w:t>
      </w:r>
    </w:p>
    <w:p w14:paraId="21B07A41" w14:textId="2D25E7A0" w:rsidR="00E722ED" w:rsidRPr="00F0151C" w:rsidRDefault="00E722ED" w:rsidP="00E722ED">
      <w:pPr>
        <w:tabs>
          <w:tab w:val="left" w:pos="-3828"/>
          <w:tab w:val="left" w:pos="-3119"/>
          <w:tab w:val="left" w:pos="426"/>
        </w:tabs>
        <w:spacing w:after="0" w:line="360" w:lineRule="auto"/>
        <w:jc w:val="both"/>
        <w:rPr>
          <w:rFonts w:ascii="Arial" w:hAnsi="Arial" w:cs="Arial"/>
          <w:color w:val="auto"/>
        </w:rPr>
      </w:pPr>
      <w:r w:rsidRPr="00F0151C">
        <w:rPr>
          <w:rFonts w:ascii="Arial" w:hAnsi="Arial" w:cs="Arial"/>
          <w:b/>
          <w:bCs/>
          <w:color w:val="auto"/>
        </w:rPr>
        <w:tab/>
      </w:r>
      <w:r w:rsidRPr="00F0151C">
        <w:rPr>
          <w:rFonts w:ascii="Arial" w:hAnsi="Arial" w:cs="Arial"/>
          <w:color w:val="auto"/>
        </w:rPr>
        <w:t>Wyrywkowej weryfikacji poddano świadczenia udzielone ze środków ZFŚS w 2022 r. w konfrontacji z zapisami regulaminu. W zakresie dofinansowania do wypoczynku letniego tzw. „wczasy pod gruszą” nie stwierdzono nieprawidłowości.</w:t>
      </w:r>
      <w:r w:rsidR="00EF2AF6" w:rsidRPr="00F0151C">
        <w:rPr>
          <w:rFonts w:ascii="Arial" w:hAnsi="Arial" w:cs="Arial"/>
          <w:color w:val="auto"/>
        </w:rPr>
        <w:t xml:space="preserve"> </w:t>
      </w:r>
      <w:r w:rsidRPr="00F0151C">
        <w:rPr>
          <w:rFonts w:ascii="Arial" w:hAnsi="Arial" w:cs="Arial"/>
          <w:color w:val="auto"/>
        </w:rPr>
        <w:t>W okresie objętym kontrolą złożone zostały 4 wnioski o bezzwrotną zapomogę finansową. Zgodnie z obowiązującym w</w:t>
      </w:r>
      <w:r w:rsidR="008F191A" w:rsidRPr="00F0151C">
        <w:rPr>
          <w:rFonts w:ascii="Arial" w:hAnsi="Arial" w:cs="Arial"/>
          <w:color w:val="auto"/>
        </w:rPr>
        <w:t> </w:t>
      </w:r>
      <w:r w:rsidRPr="00F0151C">
        <w:rPr>
          <w:rFonts w:ascii="Arial" w:hAnsi="Arial" w:cs="Arial"/>
          <w:color w:val="auto"/>
        </w:rPr>
        <w:t>jednostce regulaminem pomoc rzeczowo – finansowa udzielana jest raz na 3 lata  na wniosek osoby uprawnionej do korzystania z Funduszu. W zależności od posiadanych środków, w</w:t>
      </w:r>
      <w:r w:rsidR="008F191A" w:rsidRPr="00F0151C">
        <w:rPr>
          <w:rFonts w:ascii="Arial" w:hAnsi="Arial" w:cs="Arial"/>
          <w:color w:val="auto"/>
        </w:rPr>
        <w:t> </w:t>
      </w:r>
      <w:r w:rsidRPr="00F0151C">
        <w:rPr>
          <w:rFonts w:ascii="Arial" w:hAnsi="Arial" w:cs="Arial"/>
          <w:color w:val="auto"/>
        </w:rPr>
        <w:t>szczególnych wypadkach losowych, może być udzielona częściej niż na 3 lata dodatkowa pomoc rzeczowo – finansowa. Wysokość zapomogi uzależniona jest od wysokości dochodu na jednego członka rodziny, przy czym w przypadku gdy dochód ten wynosi powyżej 1 352 zł świadczenie w ogóle nie przysługuje. Przy dochodach od 906 zł do 1352 zł pomoc finansowa wynosi 400 zł, przy dochodach od 801 zł do 905 zł pomoc finansowa wynosi 500 zł a przy dochodach do 800 zł pomoc finansowa wynosi 600 zł. Co istotne, w regulaminie zapisano, że w uzasadnionych przypadkach pomoc rzeczowo – finansowa może być przyznan</w:t>
      </w:r>
      <w:r w:rsidR="00EF2AF6" w:rsidRPr="00F0151C">
        <w:rPr>
          <w:rFonts w:ascii="Arial" w:hAnsi="Arial" w:cs="Arial"/>
          <w:color w:val="auto"/>
        </w:rPr>
        <w:t>a</w:t>
      </w:r>
      <w:r w:rsidRPr="00F0151C">
        <w:rPr>
          <w:rFonts w:ascii="Arial" w:hAnsi="Arial" w:cs="Arial"/>
          <w:color w:val="auto"/>
        </w:rPr>
        <w:t xml:space="preserve"> przy osiąganych wyższych dochodach niż określone w tabeli </w:t>
      </w:r>
      <w:r w:rsidRPr="00F0151C">
        <w:rPr>
          <w:rFonts w:ascii="Arial" w:hAnsi="Arial" w:cs="Arial"/>
          <w:color w:val="auto"/>
        </w:rPr>
        <w:lastRenderedPageBreak/>
        <w:t>dopłat, a jej przyznanie uzależnione jest od indywidualnych sytuacji losowych takich jak: choroba, kradzież, pożar itp.</w:t>
      </w:r>
    </w:p>
    <w:p w14:paraId="65EFC63E" w14:textId="07773C2D" w:rsidR="00DE0BC5" w:rsidRPr="00F0151C" w:rsidRDefault="00E722ED" w:rsidP="00BE4A02">
      <w:pPr>
        <w:tabs>
          <w:tab w:val="left" w:pos="-3828"/>
          <w:tab w:val="left" w:pos="-3119"/>
          <w:tab w:val="left" w:pos="426"/>
        </w:tabs>
        <w:spacing w:after="0" w:line="360" w:lineRule="auto"/>
        <w:jc w:val="both"/>
        <w:rPr>
          <w:rFonts w:ascii="Arial" w:hAnsi="Arial" w:cs="Arial"/>
          <w:color w:val="auto"/>
        </w:rPr>
      </w:pPr>
      <w:r w:rsidRPr="00F0151C">
        <w:rPr>
          <w:rFonts w:ascii="Arial" w:hAnsi="Arial" w:cs="Arial"/>
          <w:color w:val="auto"/>
          <w:spacing w:val="-2"/>
        </w:rPr>
        <w:tab/>
        <w:t>Jak wynika z protokołu z zebrania Komisji Socjalnej z 8 września 2022 r. po przeanalizowaniu wniosku z 26.07.2022 r. oraz załączonych do niego dokumentów stwierdzono, że ubiegający się o świadczenie nie spełnia jednego z warunków określonych w</w:t>
      </w:r>
      <w:r w:rsidR="0013373D" w:rsidRPr="00F0151C">
        <w:rPr>
          <w:rFonts w:ascii="Arial" w:hAnsi="Arial" w:cs="Arial"/>
          <w:color w:val="auto"/>
          <w:spacing w:val="-2"/>
        </w:rPr>
        <w:t> </w:t>
      </w:r>
      <w:r w:rsidRPr="00F0151C">
        <w:rPr>
          <w:rFonts w:ascii="Arial" w:hAnsi="Arial" w:cs="Arial"/>
          <w:color w:val="auto"/>
          <w:spacing w:val="-2"/>
        </w:rPr>
        <w:t>regulaminie tj. dochód brutto przypadający na jednego członka rodziny jest wyższy niż kwoty określone w tabeli. Jednakże mając na uwadze ww. zapisy Komisja zdecydowała o przyznaniu zapomogi w kwocie  2 000 zł. Zgodnie z protokołem z zebrania Komisji Socjalnej z 15 lutego 2023 r. do dnia zebrania złożone zostały 3 wnioski o zapomogę. W jednym przypadku uprawniony nie spełniał kryterium dochodowego obowiązującego przy udzielaniu zapomogi, w</w:t>
      </w:r>
      <w:r w:rsidR="0013373D" w:rsidRPr="00F0151C">
        <w:rPr>
          <w:rFonts w:ascii="Arial" w:hAnsi="Arial" w:cs="Arial"/>
          <w:color w:val="auto"/>
          <w:spacing w:val="-2"/>
        </w:rPr>
        <w:t> </w:t>
      </w:r>
      <w:r w:rsidRPr="00F0151C">
        <w:rPr>
          <w:rFonts w:ascii="Arial" w:hAnsi="Arial" w:cs="Arial"/>
          <w:color w:val="auto"/>
          <w:spacing w:val="-2"/>
        </w:rPr>
        <w:t>drugim przypadku wnioskującym nie spełniał kryterium czasowego (nie minęły trzy lata od uzyskania bezzwrotnej pomocy finansowej), a w trzecim przypadku uprawniony nie spełniał obu ww. kryteriów. Komisja powołując się na przytoczone powyżej zapisy regulaminu przyznała każdemu z wnioskujących zapomogę losową w wysokości 2 000 zł. Mając na uwadze, że każdy wniosek o bezzwrotną pomoc rzeczowo – finansowa rozpatrywany jest przez Komisję indywidualnie poprzez szczegółowe analizowanie sytuacji losowych oraz sytuacji materialnej wnioskującego, a zapomoga ma charakter uznaniowy, wskazywanie konkretnych kwot zapomogi w tabeli wydaje się być tworzeniem „martwego prawa” w tym zakresie. We wszystkich poddanych kontroli przypadkach, Komisja przyznawała zapomogi pomimo, że uprawnieni nie spełniali wymogów określonych regulaminem, a kwoty zapomóg były  znacznie wyższe niż kwoty wskazane w tabeli dopłat</w:t>
      </w:r>
      <w:r w:rsidRPr="00F0151C">
        <w:rPr>
          <w:rFonts w:ascii="Arial" w:hAnsi="Arial" w:cs="Arial"/>
          <w:color w:val="auto"/>
        </w:rPr>
        <w:t xml:space="preserve">. </w:t>
      </w:r>
    </w:p>
    <w:p w14:paraId="6A9D4240" w14:textId="33B3B81D" w:rsidR="001A74D0" w:rsidRPr="00F0151C" w:rsidRDefault="001A74D0" w:rsidP="00550FD5">
      <w:pPr>
        <w:spacing w:after="0" w:line="360" w:lineRule="auto"/>
        <w:ind w:firstLine="708"/>
        <w:jc w:val="both"/>
        <w:rPr>
          <w:rFonts w:ascii="Arial" w:hAnsi="Arial" w:cs="Arial"/>
          <w:color w:val="auto"/>
        </w:rPr>
      </w:pPr>
      <w:r w:rsidRPr="00F0151C">
        <w:rPr>
          <w:rFonts w:ascii="Arial" w:hAnsi="Arial" w:cs="Arial"/>
          <w:color w:val="auto"/>
        </w:rPr>
        <w:t>Weryfikacji poddano</w:t>
      </w:r>
      <w:r w:rsidR="00550FD5" w:rsidRPr="00F0151C">
        <w:rPr>
          <w:rFonts w:ascii="Arial" w:hAnsi="Arial" w:cs="Arial"/>
          <w:color w:val="auto"/>
        </w:rPr>
        <w:t xml:space="preserve"> również </w:t>
      </w:r>
      <w:r w:rsidRPr="00F0151C">
        <w:rPr>
          <w:rFonts w:ascii="Arial" w:hAnsi="Arial" w:cs="Arial"/>
          <w:color w:val="auto"/>
        </w:rPr>
        <w:t xml:space="preserve"> świadczenia </w:t>
      </w:r>
      <w:r w:rsidR="00550FD5" w:rsidRPr="00F0151C">
        <w:rPr>
          <w:rFonts w:ascii="Arial" w:hAnsi="Arial" w:cs="Arial"/>
          <w:color w:val="auto"/>
        </w:rPr>
        <w:t>w postaci k</w:t>
      </w:r>
      <w:r w:rsidRPr="00F0151C">
        <w:rPr>
          <w:rFonts w:ascii="Arial" w:hAnsi="Arial" w:cs="Arial"/>
          <w:color w:val="auto"/>
        </w:rPr>
        <w:t>art podarunkow</w:t>
      </w:r>
      <w:r w:rsidR="00550FD5" w:rsidRPr="00F0151C">
        <w:rPr>
          <w:rFonts w:ascii="Arial" w:hAnsi="Arial" w:cs="Arial"/>
          <w:color w:val="auto"/>
        </w:rPr>
        <w:t>ych</w:t>
      </w:r>
      <w:r w:rsidRPr="00F0151C">
        <w:rPr>
          <w:rFonts w:ascii="Arial" w:hAnsi="Arial" w:cs="Arial"/>
          <w:color w:val="auto"/>
        </w:rPr>
        <w:t xml:space="preserve"> dla pracowników </w:t>
      </w:r>
      <w:r w:rsidR="00550FD5" w:rsidRPr="00F0151C">
        <w:rPr>
          <w:rFonts w:ascii="Arial" w:hAnsi="Arial" w:cs="Arial"/>
          <w:color w:val="auto"/>
        </w:rPr>
        <w:t xml:space="preserve">wypłaconych w łącznej kwocie </w:t>
      </w:r>
      <w:r w:rsidRPr="00F0151C">
        <w:rPr>
          <w:rFonts w:ascii="Arial" w:hAnsi="Arial" w:cs="Arial"/>
          <w:color w:val="auto"/>
        </w:rPr>
        <w:t>35 800 zł</w:t>
      </w:r>
      <w:r w:rsidR="00550FD5" w:rsidRPr="00F0151C">
        <w:rPr>
          <w:rFonts w:ascii="Arial" w:hAnsi="Arial" w:cs="Arial"/>
          <w:color w:val="auto"/>
        </w:rPr>
        <w:t xml:space="preserve">. </w:t>
      </w:r>
      <w:r w:rsidRPr="00F0151C">
        <w:rPr>
          <w:rFonts w:ascii="Arial" w:hAnsi="Arial" w:cs="Arial"/>
          <w:color w:val="auto"/>
        </w:rPr>
        <w:t xml:space="preserve">Zgodnie z protokołem z zebrania komisji socjalnej z 8.03.2022 r. </w:t>
      </w:r>
      <w:r w:rsidR="00EF2AF6" w:rsidRPr="00F0151C">
        <w:rPr>
          <w:rFonts w:ascii="Arial" w:hAnsi="Arial" w:cs="Arial"/>
          <w:color w:val="auto"/>
        </w:rPr>
        <w:t>K</w:t>
      </w:r>
      <w:r w:rsidRPr="00F0151C">
        <w:rPr>
          <w:rFonts w:ascii="Arial" w:hAnsi="Arial" w:cs="Arial"/>
          <w:color w:val="auto"/>
        </w:rPr>
        <w:t>omisja  ustaliła kwotę limitu karty podarunkowej dla pracowników  w zależności od dochodu brutto przypadającego na 1 członka rodziny w</w:t>
      </w:r>
      <w:r w:rsidR="008F191A" w:rsidRPr="00F0151C">
        <w:rPr>
          <w:rFonts w:ascii="Arial" w:hAnsi="Arial" w:cs="Arial"/>
          <w:color w:val="auto"/>
        </w:rPr>
        <w:t> </w:t>
      </w:r>
      <w:r w:rsidRPr="00F0151C">
        <w:rPr>
          <w:rFonts w:ascii="Arial" w:hAnsi="Arial" w:cs="Arial"/>
          <w:color w:val="auto"/>
        </w:rPr>
        <w:t>następujący sposób:</w:t>
      </w:r>
    </w:p>
    <w:p w14:paraId="2E037F19" w14:textId="5B4F7867" w:rsidR="001A74D0" w:rsidRPr="00F0151C" w:rsidRDefault="001A74D0" w:rsidP="001A74D0">
      <w:pPr>
        <w:spacing w:after="0" w:line="360" w:lineRule="auto"/>
        <w:rPr>
          <w:rFonts w:ascii="Arial" w:hAnsi="Arial" w:cs="Arial"/>
          <w:color w:val="auto"/>
        </w:rPr>
      </w:pPr>
      <w:r w:rsidRPr="00F0151C">
        <w:rPr>
          <w:rFonts w:ascii="Arial" w:hAnsi="Arial" w:cs="Arial"/>
          <w:color w:val="auto"/>
        </w:rPr>
        <w:t xml:space="preserve">- </w:t>
      </w:r>
      <w:bookmarkStart w:id="26" w:name="_Hlk142469353"/>
      <w:r w:rsidRPr="00F0151C">
        <w:rPr>
          <w:rFonts w:ascii="Arial" w:hAnsi="Arial" w:cs="Arial"/>
          <w:color w:val="auto"/>
        </w:rPr>
        <w:t>dochód brutto do 1505</w:t>
      </w:r>
      <w:r w:rsidR="00EF2AF6" w:rsidRPr="00F0151C">
        <w:rPr>
          <w:rFonts w:ascii="Arial" w:hAnsi="Arial" w:cs="Arial"/>
          <w:color w:val="auto"/>
        </w:rPr>
        <w:t xml:space="preserve"> zł</w:t>
      </w:r>
      <w:r w:rsidRPr="00F0151C">
        <w:rPr>
          <w:rFonts w:ascii="Arial" w:hAnsi="Arial" w:cs="Arial"/>
          <w:color w:val="auto"/>
        </w:rPr>
        <w:t xml:space="preserve"> na osobę – karta o wartości 320 zł</w:t>
      </w:r>
      <w:bookmarkEnd w:id="26"/>
      <w:r w:rsidRPr="00F0151C">
        <w:rPr>
          <w:rFonts w:ascii="Arial" w:hAnsi="Arial" w:cs="Arial"/>
          <w:color w:val="auto"/>
        </w:rPr>
        <w:t>,</w:t>
      </w:r>
    </w:p>
    <w:p w14:paraId="572FA07F" w14:textId="6AAD8BF8" w:rsidR="001A74D0" w:rsidRPr="00F0151C" w:rsidRDefault="001A74D0" w:rsidP="001A74D0">
      <w:pPr>
        <w:spacing w:after="0" w:line="360" w:lineRule="auto"/>
        <w:rPr>
          <w:rFonts w:ascii="Arial" w:hAnsi="Arial" w:cs="Arial"/>
          <w:color w:val="auto"/>
        </w:rPr>
      </w:pPr>
      <w:r w:rsidRPr="00F0151C">
        <w:rPr>
          <w:rFonts w:ascii="Arial" w:hAnsi="Arial" w:cs="Arial"/>
          <w:color w:val="auto"/>
        </w:rPr>
        <w:t xml:space="preserve">- dochód brutto </w:t>
      </w:r>
      <w:r w:rsidR="00EF2AF6" w:rsidRPr="00F0151C">
        <w:rPr>
          <w:rFonts w:ascii="Arial" w:hAnsi="Arial" w:cs="Arial"/>
          <w:color w:val="auto"/>
        </w:rPr>
        <w:t>od</w:t>
      </w:r>
      <w:r w:rsidRPr="00F0151C">
        <w:rPr>
          <w:rFonts w:ascii="Arial" w:hAnsi="Arial" w:cs="Arial"/>
          <w:color w:val="auto"/>
        </w:rPr>
        <w:t xml:space="preserve"> 1506</w:t>
      </w:r>
      <w:r w:rsidR="00EF2AF6" w:rsidRPr="00F0151C">
        <w:rPr>
          <w:rFonts w:ascii="Arial" w:hAnsi="Arial" w:cs="Arial"/>
          <w:color w:val="auto"/>
        </w:rPr>
        <w:t xml:space="preserve"> zł</w:t>
      </w:r>
      <w:r w:rsidRPr="00F0151C">
        <w:rPr>
          <w:rFonts w:ascii="Arial" w:hAnsi="Arial" w:cs="Arial"/>
          <w:color w:val="auto"/>
        </w:rPr>
        <w:t xml:space="preserve"> do 3010</w:t>
      </w:r>
      <w:r w:rsidR="00EF2AF6" w:rsidRPr="00F0151C">
        <w:rPr>
          <w:rFonts w:ascii="Arial" w:hAnsi="Arial" w:cs="Arial"/>
          <w:color w:val="auto"/>
        </w:rPr>
        <w:t xml:space="preserve"> zł</w:t>
      </w:r>
      <w:r w:rsidRPr="00F0151C">
        <w:rPr>
          <w:rFonts w:ascii="Arial" w:hAnsi="Arial" w:cs="Arial"/>
          <w:color w:val="auto"/>
        </w:rPr>
        <w:t xml:space="preserve"> na osobę – karta o wartości 310 zł,</w:t>
      </w:r>
    </w:p>
    <w:p w14:paraId="592D0DBD" w14:textId="339FB21B" w:rsidR="001A74D0" w:rsidRPr="00F0151C" w:rsidRDefault="001A74D0" w:rsidP="001A74D0">
      <w:pPr>
        <w:spacing w:after="0" w:line="360" w:lineRule="auto"/>
        <w:rPr>
          <w:rFonts w:ascii="Arial" w:hAnsi="Arial" w:cs="Arial"/>
          <w:color w:val="auto"/>
        </w:rPr>
      </w:pPr>
      <w:r w:rsidRPr="00F0151C">
        <w:rPr>
          <w:rFonts w:ascii="Arial" w:hAnsi="Arial" w:cs="Arial"/>
          <w:color w:val="auto"/>
        </w:rPr>
        <w:t xml:space="preserve">- dochód brutto </w:t>
      </w:r>
      <w:r w:rsidR="00EF2AF6" w:rsidRPr="00F0151C">
        <w:rPr>
          <w:rFonts w:ascii="Arial" w:hAnsi="Arial" w:cs="Arial"/>
          <w:color w:val="auto"/>
        </w:rPr>
        <w:t>od</w:t>
      </w:r>
      <w:r w:rsidRPr="00F0151C">
        <w:rPr>
          <w:rFonts w:ascii="Arial" w:hAnsi="Arial" w:cs="Arial"/>
          <w:color w:val="auto"/>
        </w:rPr>
        <w:t xml:space="preserve"> 3010</w:t>
      </w:r>
      <w:r w:rsidR="00EF2AF6" w:rsidRPr="00F0151C">
        <w:rPr>
          <w:rFonts w:ascii="Arial" w:hAnsi="Arial" w:cs="Arial"/>
          <w:color w:val="auto"/>
        </w:rPr>
        <w:t>zł</w:t>
      </w:r>
      <w:r w:rsidRPr="00F0151C">
        <w:rPr>
          <w:rFonts w:ascii="Arial" w:hAnsi="Arial" w:cs="Arial"/>
          <w:color w:val="auto"/>
        </w:rPr>
        <w:t xml:space="preserve"> na osobę – karta o wartości 300 zł. </w:t>
      </w:r>
    </w:p>
    <w:p w14:paraId="3074F130" w14:textId="5512DE7B" w:rsidR="001A74D0" w:rsidRPr="00F0151C" w:rsidRDefault="001A74D0" w:rsidP="001A74D0">
      <w:pPr>
        <w:spacing w:after="0" w:line="360" w:lineRule="auto"/>
        <w:jc w:val="both"/>
        <w:rPr>
          <w:rFonts w:ascii="Arial" w:hAnsi="Arial" w:cs="Arial"/>
          <w:color w:val="auto"/>
        </w:rPr>
      </w:pPr>
      <w:r w:rsidRPr="00F0151C">
        <w:rPr>
          <w:rFonts w:ascii="Arial" w:hAnsi="Arial" w:cs="Arial"/>
          <w:b/>
          <w:bCs/>
          <w:color w:val="auto"/>
        </w:rPr>
        <w:t>Ustalenia komisji są niezgodne z załącznikiem nr 7 Regulaminu</w:t>
      </w:r>
      <w:r w:rsidR="009668A2" w:rsidRPr="00F0151C">
        <w:rPr>
          <w:rFonts w:ascii="Arial" w:hAnsi="Arial" w:cs="Arial"/>
          <w:b/>
          <w:bCs/>
          <w:color w:val="auto"/>
        </w:rPr>
        <w:t>,</w:t>
      </w:r>
      <w:r w:rsidRPr="00F0151C">
        <w:rPr>
          <w:rFonts w:ascii="Arial" w:hAnsi="Arial" w:cs="Arial"/>
          <w:b/>
          <w:bCs/>
          <w:color w:val="auto"/>
        </w:rPr>
        <w:t xml:space="preserve"> </w:t>
      </w:r>
      <w:r w:rsidRPr="00F0151C">
        <w:rPr>
          <w:rFonts w:ascii="Arial" w:hAnsi="Arial" w:cs="Arial"/>
          <w:color w:val="auto"/>
        </w:rPr>
        <w:t xml:space="preserve">w którym wskazano wysokość karty podarunkowej jako krotność 10 zł karty podarunkowej (począwszy od 9 krotności) w zależności od dochodu w 7 przedziałach dochodowych przy najniższym dochodzie brutto powyżej kwoty 800 zł. </w:t>
      </w:r>
    </w:p>
    <w:p w14:paraId="11559D00" w14:textId="4FEE0380" w:rsidR="001A74D0" w:rsidRPr="00F0151C" w:rsidRDefault="00550FD5" w:rsidP="00550FD5">
      <w:pPr>
        <w:pStyle w:val="Akapitzlist"/>
        <w:widowControl/>
        <w:suppressAutoHyphens w:val="0"/>
        <w:overflowPunct/>
        <w:ind w:left="0" w:firstLine="567"/>
        <w:textAlignment w:val="auto"/>
        <w:rPr>
          <w:rFonts w:ascii="Arial" w:hAnsi="Arial" w:cs="Arial"/>
          <w:b/>
          <w:bCs/>
          <w:color w:val="auto"/>
          <w:sz w:val="22"/>
          <w:szCs w:val="22"/>
          <w:lang w:val="pl-PL"/>
        </w:rPr>
      </w:pPr>
      <w:bookmarkStart w:id="27" w:name="_Hlk147309413"/>
      <w:r w:rsidRPr="00F0151C">
        <w:rPr>
          <w:rFonts w:ascii="Arial" w:hAnsi="Arial" w:cs="Arial"/>
          <w:color w:val="auto"/>
          <w:sz w:val="22"/>
          <w:szCs w:val="22"/>
          <w:lang w:val="pl-PL"/>
        </w:rPr>
        <w:t>Sprawdzono d</w:t>
      </w:r>
      <w:r w:rsidR="001A74D0" w:rsidRPr="00F0151C">
        <w:rPr>
          <w:rFonts w:ascii="Arial" w:hAnsi="Arial" w:cs="Arial"/>
          <w:color w:val="auto"/>
          <w:sz w:val="22"/>
          <w:szCs w:val="22"/>
          <w:lang w:val="pl-PL"/>
        </w:rPr>
        <w:t>ofinansowanie do zielonego przedszkola w kwocie 225 zł. Świadczenia udzielono w wysokości zgodnej z regulaminem tj. 30 % poniesionych kosztów w danym przedziale dochodowym jednakże</w:t>
      </w:r>
      <w:r w:rsidR="009668A2" w:rsidRPr="00F0151C">
        <w:rPr>
          <w:rFonts w:ascii="Arial" w:hAnsi="Arial" w:cs="Arial"/>
          <w:color w:val="auto"/>
          <w:sz w:val="22"/>
          <w:szCs w:val="22"/>
          <w:lang w:val="pl-PL"/>
        </w:rPr>
        <w:t>,</w:t>
      </w:r>
      <w:r w:rsidR="001A74D0" w:rsidRPr="00F0151C">
        <w:rPr>
          <w:rFonts w:ascii="Arial" w:hAnsi="Arial" w:cs="Arial"/>
          <w:color w:val="auto"/>
          <w:sz w:val="22"/>
          <w:szCs w:val="22"/>
          <w:lang w:val="pl-PL"/>
        </w:rPr>
        <w:t xml:space="preserve"> </w:t>
      </w:r>
      <w:r w:rsidR="001A74D0" w:rsidRPr="00F0151C">
        <w:rPr>
          <w:rFonts w:ascii="Arial" w:hAnsi="Arial" w:cs="Arial"/>
          <w:b/>
          <w:bCs/>
          <w:color w:val="auto"/>
          <w:sz w:val="22"/>
          <w:szCs w:val="22"/>
          <w:lang w:val="pl-PL"/>
        </w:rPr>
        <w:t xml:space="preserve">zgodnie z załącznikiem 4 do regulaminu </w:t>
      </w:r>
      <w:r w:rsidR="001A74D0" w:rsidRPr="00F0151C">
        <w:rPr>
          <w:rFonts w:ascii="Arial" w:hAnsi="Arial" w:cs="Arial"/>
          <w:b/>
          <w:bCs/>
          <w:color w:val="auto"/>
          <w:sz w:val="22"/>
          <w:szCs w:val="22"/>
          <w:lang w:val="pl-PL"/>
        </w:rPr>
        <w:lastRenderedPageBreak/>
        <w:t xml:space="preserve">dofinansowanie winno być przekazane na konto organizatora wypoczynku. Tymczasem na podstawie noty księgowej wystawionej przez organizatora na beneficjenta świadczenia, dofinansowanie przekazano beneficjentowi. </w:t>
      </w:r>
    </w:p>
    <w:p w14:paraId="6E8A3A80" w14:textId="5927E466" w:rsidR="00375221" w:rsidRDefault="001A74D0" w:rsidP="008C481C">
      <w:pPr>
        <w:overflowPunct/>
        <w:spacing w:after="0" w:line="360" w:lineRule="auto"/>
        <w:ind w:firstLine="567"/>
        <w:jc w:val="both"/>
        <w:rPr>
          <w:rFonts w:ascii="Arial" w:hAnsi="Arial" w:cs="Arial"/>
          <w:b/>
          <w:bCs/>
          <w:color w:val="auto"/>
          <w:spacing w:val="-2"/>
        </w:rPr>
      </w:pPr>
      <w:bookmarkStart w:id="28" w:name="_Hlk147309697"/>
      <w:bookmarkEnd w:id="27"/>
      <w:r w:rsidRPr="00F0151C">
        <w:rPr>
          <w:rFonts w:ascii="Arial" w:hAnsi="Arial" w:cs="Arial"/>
          <w:color w:val="auto"/>
          <w:spacing w:val="-2"/>
        </w:rPr>
        <w:t>Dofinansowanie do spotkania sportowo - rekreacyjnego dla pracowników</w:t>
      </w:r>
      <w:bookmarkEnd w:id="28"/>
      <w:r w:rsidRPr="00F0151C">
        <w:rPr>
          <w:rFonts w:ascii="Arial" w:hAnsi="Arial" w:cs="Arial"/>
          <w:color w:val="auto"/>
          <w:spacing w:val="-2"/>
        </w:rPr>
        <w:t xml:space="preserve"> </w:t>
      </w:r>
      <w:r w:rsidR="00550FD5" w:rsidRPr="00F0151C">
        <w:rPr>
          <w:rFonts w:ascii="Arial" w:hAnsi="Arial" w:cs="Arial"/>
          <w:color w:val="auto"/>
          <w:spacing w:val="-2"/>
        </w:rPr>
        <w:t xml:space="preserve">wypłacono </w:t>
      </w:r>
      <w:r w:rsidRPr="00F0151C">
        <w:rPr>
          <w:rFonts w:ascii="Arial" w:hAnsi="Arial" w:cs="Arial"/>
          <w:color w:val="auto"/>
          <w:spacing w:val="-2"/>
        </w:rPr>
        <w:t>w</w:t>
      </w:r>
      <w:r w:rsidR="008F191A" w:rsidRPr="00F0151C">
        <w:rPr>
          <w:rFonts w:ascii="Arial" w:hAnsi="Arial" w:cs="Arial"/>
          <w:color w:val="auto"/>
          <w:spacing w:val="-2"/>
        </w:rPr>
        <w:t> </w:t>
      </w:r>
      <w:r w:rsidR="009668A2" w:rsidRPr="00F0151C">
        <w:rPr>
          <w:rFonts w:ascii="Arial" w:hAnsi="Arial" w:cs="Arial"/>
          <w:color w:val="auto"/>
          <w:spacing w:val="-2"/>
        </w:rPr>
        <w:t>2022 r.</w:t>
      </w:r>
      <w:r w:rsidR="0013373D" w:rsidRPr="00F0151C">
        <w:rPr>
          <w:rFonts w:ascii="Arial" w:hAnsi="Arial" w:cs="Arial"/>
          <w:color w:val="auto"/>
          <w:spacing w:val="-2"/>
        </w:rPr>
        <w:t> </w:t>
      </w:r>
      <w:r w:rsidRPr="00F0151C">
        <w:rPr>
          <w:rFonts w:ascii="Arial" w:hAnsi="Arial" w:cs="Arial"/>
          <w:color w:val="auto"/>
          <w:spacing w:val="-2"/>
        </w:rPr>
        <w:t>łącznej kwocie 10 986,50 zł. Zgodnie z regulaminem „dofinansowanie do imprez kulturalno - sportowych może wynosić w zryczałtowanej wysokości do 80 % pełnych kosztów jednak nie więcej niż 250 zł na osobę  uprawnioną. O ostatecznej wysokości pełnych kosztów dofinansowania z ZFŚS wnioskuje Stała Komisja Socjalna Zakładu”. W protokole   z</w:t>
      </w:r>
      <w:r w:rsidR="0013373D" w:rsidRPr="00F0151C">
        <w:rPr>
          <w:rFonts w:ascii="Arial" w:hAnsi="Arial" w:cs="Arial"/>
          <w:color w:val="auto"/>
          <w:spacing w:val="-2"/>
        </w:rPr>
        <w:t> </w:t>
      </w:r>
      <w:r w:rsidRPr="00F0151C">
        <w:rPr>
          <w:rFonts w:ascii="Arial" w:hAnsi="Arial" w:cs="Arial"/>
          <w:color w:val="auto"/>
          <w:spacing w:val="-2"/>
        </w:rPr>
        <w:t xml:space="preserve">17.05.2022 r. Komisja ustaliła  wysokość wpłat własnych pracownika w zależności od dochodu brutto przypadającego na 1 członka rodziny w wysokości 20 zł przy dochodzie brutto do 1 505 zł na osobę oraz 25 zł przy dochodzie brutto powyżej 1 506 zł. </w:t>
      </w:r>
      <w:bookmarkStart w:id="29" w:name="_Hlk147309682"/>
      <w:r w:rsidRPr="00F0151C">
        <w:rPr>
          <w:rFonts w:ascii="Arial" w:hAnsi="Arial" w:cs="Arial"/>
          <w:b/>
          <w:bCs/>
          <w:color w:val="auto"/>
          <w:spacing w:val="-2"/>
        </w:rPr>
        <w:t>Tymczasem koszt spotkania w przeliczeniu na jednego pracownika stanowił kwotę 171,42 zł, co oznacza, że zgodnie z regulaminem maksymalna kwota dofinansowania powinna stanowić kwotę 137,14 zł, a udzielono pracownikom dofinansowania w kwotach 146,42 zł w</w:t>
      </w:r>
      <w:r w:rsidR="0013373D" w:rsidRPr="00F0151C">
        <w:rPr>
          <w:rFonts w:ascii="Arial" w:hAnsi="Arial" w:cs="Arial"/>
          <w:b/>
          <w:bCs/>
          <w:color w:val="auto"/>
          <w:spacing w:val="-2"/>
        </w:rPr>
        <w:t> </w:t>
      </w:r>
      <w:r w:rsidRPr="00F0151C">
        <w:rPr>
          <w:rFonts w:ascii="Arial" w:hAnsi="Arial" w:cs="Arial"/>
          <w:b/>
          <w:bCs/>
          <w:color w:val="auto"/>
          <w:spacing w:val="-2"/>
        </w:rPr>
        <w:t xml:space="preserve">pierwszym przedziale dochodowym i 151,42 zł w drugim przedziale dochodowym.  </w:t>
      </w:r>
      <w:bookmarkEnd w:id="29"/>
    </w:p>
    <w:p w14:paraId="50107A31" w14:textId="77777777" w:rsidR="004F74DE" w:rsidRPr="00F0151C" w:rsidRDefault="004F74DE" w:rsidP="008C481C">
      <w:pPr>
        <w:overflowPunct/>
        <w:spacing w:after="0" w:line="360" w:lineRule="auto"/>
        <w:ind w:firstLine="567"/>
        <w:jc w:val="both"/>
        <w:rPr>
          <w:rFonts w:ascii="Arial" w:hAnsi="Arial" w:cs="Arial"/>
          <w:b/>
          <w:bCs/>
          <w:color w:val="auto"/>
          <w:spacing w:val="-2"/>
        </w:rPr>
      </w:pPr>
    </w:p>
    <w:p w14:paraId="3A95386D" w14:textId="77777777" w:rsidR="00DE0BC5" w:rsidRPr="00F0151C" w:rsidRDefault="00DE0BC5" w:rsidP="00285E7D">
      <w:pPr>
        <w:pStyle w:val="Akapitzlist"/>
        <w:numPr>
          <w:ilvl w:val="2"/>
          <w:numId w:val="27"/>
        </w:numPr>
        <w:tabs>
          <w:tab w:val="left" w:pos="426"/>
        </w:tabs>
        <w:ind w:left="709" w:hanging="709"/>
        <w:rPr>
          <w:rFonts w:ascii="Arial" w:hAnsi="Arial" w:cs="Arial"/>
          <w:b/>
          <w:color w:val="auto"/>
          <w:sz w:val="22"/>
          <w:szCs w:val="22"/>
          <w:lang w:val="pl-PL"/>
        </w:rPr>
      </w:pPr>
      <w:r w:rsidRPr="00F0151C">
        <w:rPr>
          <w:rFonts w:ascii="Arial" w:hAnsi="Arial" w:cs="Arial"/>
          <w:b/>
          <w:bCs/>
          <w:color w:val="auto"/>
          <w:sz w:val="22"/>
          <w:szCs w:val="22"/>
          <w:lang w:val="pl-PL"/>
        </w:rPr>
        <w:t xml:space="preserve">Wydatki osobowe </w:t>
      </w:r>
    </w:p>
    <w:p w14:paraId="69F1B87D" w14:textId="7D625FF3" w:rsidR="003938C8" w:rsidRPr="00F0151C" w:rsidRDefault="00794471" w:rsidP="005D1CB8">
      <w:pPr>
        <w:tabs>
          <w:tab w:val="left" w:pos="709"/>
        </w:tabs>
        <w:overflowPunct/>
        <w:spacing w:after="0" w:line="360" w:lineRule="auto"/>
        <w:jc w:val="both"/>
        <w:rPr>
          <w:rFonts w:ascii="Arial" w:hAnsi="Arial" w:cs="Arial"/>
          <w:color w:val="auto"/>
        </w:rPr>
      </w:pPr>
      <w:r w:rsidRPr="00F0151C">
        <w:rPr>
          <w:rFonts w:ascii="Arial" w:hAnsi="Arial" w:cs="Arial"/>
          <w:color w:val="auto"/>
        </w:rPr>
        <w:tab/>
      </w:r>
      <w:r w:rsidR="00DE0BC5" w:rsidRPr="00F0151C">
        <w:rPr>
          <w:rFonts w:ascii="Arial" w:hAnsi="Arial" w:cs="Arial"/>
          <w:color w:val="auto"/>
        </w:rPr>
        <w:t xml:space="preserve">W wprowadzonym zarządzeniem Dyrektora nr </w:t>
      </w:r>
      <w:r w:rsidR="00A67842" w:rsidRPr="00F0151C">
        <w:rPr>
          <w:rFonts w:ascii="Arial" w:hAnsi="Arial" w:cs="Arial"/>
          <w:color w:val="auto"/>
        </w:rPr>
        <w:t>0152/200/09/2018</w:t>
      </w:r>
      <w:r w:rsidR="003E5FC3" w:rsidRPr="00F0151C">
        <w:rPr>
          <w:rFonts w:ascii="Arial" w:hAnsi="Arial" w:cs="Arial"/>
          <w:color w:val="auto"/>
        </w:rPr>
        <w:t xml:space="preserve"> </w:t>
      </w:r>
      <w:r w:rsidR="00DE0BC5" w:rsidRPr="00F0151C">
        <w:rPr>
          <w:rFonts w:ascii="Arial" w:hAnsi="Arial" w:cs="Arial"/>
          <w:color w:val="auto"/>
        </w:rPr>
        <w:t>z</w:t>
      </w:r>
      <w:r w:rsidR="00A67842" w:rsidRPr="00F0151C">
        <w:rPr>
          <w:rFonts w:ascii="Arial" w:hAnsi="Arial" w:cs="Arial"/>
          <w:color w:val="auto"/>
        </w:rPr>
        <w:t xml:space="preserve"> 27.09.2018</w:t>
      </w:r>
      <w:r w:rsidR="003E5FC3" w:rsidRPr="00F0151C">
        <w:rPr>
          <w:rFonts w:ascii="Arial" w:hAnsi="Arial" w:cs="Arial"/>
          <w:color w:val="auto"/>
        </w:rPr>
        <w:t xml:space="preserve"> </w:t>
      </w:r>
      <w:r w:rsidR="00DE0BC5" w:rsidRPr="00F0151C">
        <w:rPr>
          <w:rFonts w:ascii="Arial" w:hAnsi="Arial" w:cs="Arial"/>
          <w:color w:val="auto"/>
        </w:rPr>
        <w:t xml:space="preserve">r. </w:t>
      </w:r>
      <w:r w:rsidRPr="00F0151C">
        <w:rPr>
          <w:rFonts w:ascii="Arial" w:hAnsi="Arial" w:cs="Arial"/>
          <w:color w:val="auto"/>
        </w:rPr>
        <w:t>Regulaminie zasad przydzielania pracownikom środków ochrony indywidualnej, dostarczania odzieży, obuwia roboczego i</w:t>
      </w:r>
      <w:r w:rsidR="003938C8" w:rsidRPr="00F0151C">
        <w:rPr>
          <w:rFonts w:ascii="Arial" w:hAnsi="Arial" w:cs="Arial"/>
          <w:color w:val="auto"/>
        </w:rPr>
        <w:t> </w:t>
      </w:r>
      <w:r w:rsidRPr="00F0151C">
        <w:rPr>
          <w:rFonts w:ascii="Arial" w:hAnsi="Arial" w:cs="Arial"/>
          <w:color w:val="auto"/>
        </w:rPr>
        <w:t xml:space="preserve">zaopatrywania w środki higieny osobistej oraz przyznawania refundacji zakupu okularów korygujących wzrok do pracy przy komputerze </w:t>
      </w:r>
      <w:r w:rsidR="00DE0BC5" w:rsidRPr="00F0151C">
        <w:rPr>
          <w:rFonts w:ascii="Arial" w:hAnsi="Arial" w:cs="Arial"/>
          <w:color w:val="auto"/>
        </w:rPr>
        <w:t>w tabeli stanowiącej załącznik</w:t>
      </w:r>
      <w:r w:rsidR="00E859FA" w:rsidRPr="00F0151C">
        <w:rPr>
          <w:rFonts w:ascii="Arial" w:hAnsi="Arial" w:cs="Arial"/>
          <w:color w:val="auto"/>
        </w:rPr>
        <w:t xml:space="preserve"> </w:t>
      </w:r>
      <w:r w:rsidR="000C404D" w:rsidRPr="00F0151C">
        <w:rPr>
          <w:rFonts w:ascii="Arial" w:hAnsi="Arial" w:cs="Arial"/>
          <w:color w:val="auto"/>
        </w:rPr>
        <w:t xml:space="preserve">nr 1 </w:t>
      </w:r>
      <w:r w:rsidR="0051001F" w:rsidRPr="00F0151C">
        <w:rPr>
          <w:rFonts w:ascii="Arial" w:hAnsi="Arial" w:cs="Arial"/>
          <w:i/>
          <w:iCs/>
          <w:color w:val="auto"/>
        </w:rPr>
        <w:t>Tabela norm przydziału odzieży i obuwia roboczego</w:t>
      </w:r>
      <w:r w:rsidR="0051001F" w:rsidRPr="00F0151C">
        <w:rPr>
          <w:rFonts w:ascii="Arial" w:hAnsi="Arial" w:cs="Arial"/>
          <w:color w:val="auto"/>
        </w:rPr>
        <w:t xml:space="preserve"> </w:t>
      </w:r>
      <w:r w:rsidR="00E859FA" w:rsidRPr="00F0151C">
        <w:rPr>
          <w:rFonts w:ascii="Arial" w:hAnsi="Arial" w:cs="Arial"/>
          <w:color w:val="auto"/>
        </w:rPr>
        <w:t>do aneksu</w:t>
      </w:r>
      <w:r w:rsidR="00DE0BC5" w:rsidRPr="00F0151C">
        <w:rPr>
          <w:rFonts w:ascii="Arial" w:hAnsi="Arial" w:cs="Arial"/>
          <w:color w:val="auto"/>
        </w:rPr>
        <w:t xml:space="preserve"> nr </w:t>
      </w:r>
      <w:r w:rsidR="000C404D" w:rsidRPr="00F0151C">
        <w:rPr>
          <w:rFonts w:ascii="Arial" w:hAnsi="Arial" w:cs="Arial"/>
          <w:color w:val="auto"/>
        </w:rPr>
        <w:t>5/2022 z 21.02.2022 r.</w:t>
      </w:r>
      <w:r w:rsidR="00DE0BC5" w:rsidRPr="00F0151C">
        <w:rPr>
          <w:rFonts w:ascii="Arial" w:hAnsi="Arial" w:cs="Arial"/>
          <w:color w:val="auto"/>
        </w:rPr>
        <w:t xml:space="preserve"> </w:t>
      </w:r>
      <w:r w:rsidR="000C404D" w:rsidRPr="00F0151C">
        <w:rPr>
          <w:rFonts w:ascii="Arial" w:hAnsi="Arial" w:cs="Arial"/>
          <w:color w:val="auto"/>
        </w:rPr>
        <w:t xml:space="preserve">(z mocą obowiązywania od 1.01.2022 r.) </w:t>
      </w:r>
      <w:r w:rsidR="00DE0BC5" w:rsidRPr="00F0151C">
        <w:rPr>
          <w:rFonts w:ascii="Arial" w:hAnsi="Arial" w:cs="Arial"/>
          <w:color w:val="auto"/>
        </w:rPr>
        <w:t>do regulaminu wskazano normy przydziału środków ochrony indywidualnej oraz odzieży i obuwia roboczego</w:t>
      </w:r>
      <w:r w:rsidR="008E30AC" w:rsidRPr="00F0151C">
        <w:rPr>
          <w:rFonts w:ascii="Arial" w:hAnsi="Arial" w:cs="Arial"/>
          <w:color w:val="auto"/>
        </w:rPr>
        <w:t xml:space="preserve"> na 2022</w:t>
      </w:r>
      <w:r w:rsidR="003938C8" w:rsidRPr="00F0151C">
        <w:rPr>
          <w:rFonts w:ascii="Arial" w:hAnsi="Arial" w:cs="Arial"/>
          <w:color w:val="auto"/>
        </w:rPr>
        <w:t> </w:t>
      </w:r>
      <w:r w:rsidR="008E30AC" w:rsidRPr="00F0151C">
        <w:rPr>
          <w:rFonts w:ascii="Arial" w:hAnsi="Arial" w:cs="Arial"/>
          <w:color w:val="auto"/>
        </w:rPr>
        <w:t>r.</w:t>
      </w:r>
      <w:r w:rsidR="00DE0BC5" w:rsidRPr="00F0151C">
        <w:rPr>
          <w:rFonts w:ascii="Arial" w:hAnsi="Arial" w:cs="Arial"/>
          <w:color w:val="auto"/>
        </w:rPr>
        <w:t xml:space="preserve"> W regulaminie zapisano, iż w przypadku używania przez pracownika własnej odzieży i</w:t>
      </w:r>
      <w:r w:rsidR="003938C8" w:rsidRPr="00F0151C">
        <w:rPr>
          <w:rFonts w:ascii="Arial" w:hAnsi="Arial" w:cs="Arial"/>
          <w:color w:val="auto"/>
        </w:rPr>
        <w:t> </w:t>
      </w:r>
      <w:r w:rsidR="00DE0BC5" w:rsidRPr="00F0151C">
        <w:rPr>
          <w:rFonts w:ascii="Arial" w:hAnsi="Arial" w:cs="Arial"/>
          <w:color w:val="auto"/>
        </w:rPr>
        <w:t>obuwia roboczego oraz środków ochrony indywidualnej pracodawca wypłaca mu ekwiwalent pieniężny w wysokości obliczonej na podstawie tabeli norm przydziału, wg cen określonych w załączniku nr 2</w:t>
      </w:r>
      <w:r w:rsidR="000C404D" w:rsidRPr="00F0151C">
        <w:rPr>
          <w:rFonts w:ascii="Arial" w:hAnsi="Arial" w:cs="Arial"/>
          <w:color w:val="auto"/>
        </w:rPr>
        <w:t xml:space="preserve"> </w:t>
      </w:r>
      <w:r w:rsidR="0051001F" w:rsidRPr="00F0151C">
        <w:rPr>
          <w:rFonts w:ascii="Arial" w:hAnsi="Arial" w:cs="Arial"/>
          <w:i/>
          <w:iCs/>
          <w:color w:val="auto"/>
        </w:rPr>
        <w:t>Wykaz cen za odzież roboczą i obuwia roboczego</w:t>
      </w:r>
      <w:r w:rsidR="0051001F" w:rsidRPr="00F0151C">
        <w:rPr>
          <w:rFonts w:ascii="Arial" w:hAnsi="Arial" w:cs="Arial"/>
          <w:color w:val="auto"/>
        </w:rPr>
        <w:t xml:space="preserve"> </w:t>
      </w:r>
      <w:r w:rsidR="000C404D" w:rsidRPr="00F0151C">
        <w:rPr>
          <w:rFonts w:ascii="Arial" w:hAnsi="Arial" w:cs="Arial"/>
          <w:color w:val="auto"/>
        </w:rPr>
        <w:t>do regulaminu</w:t>
      </w:r>
      <w:r w:rsidR="003938C8" w:rsidRPr="00F0151C">
        <w:rPr>
          <w:rFonts w:ascii="Arial" w:hAnsi="Arial" w:cs="Arial"/>
          <w:color w:val="auto"/>
        </w:rPr>
        <w:t xml:space="preserve">. Natomiast </w:t>
      </w:r>
      <w:r w:rsidR="0051001F" w:rsidRPr="00F0151C">
        <w:rPr>
          <w:rFonts w:ascii="Arial" w:hAnsi="Arial" w:cs="Arial"/>
          <w:color w:val="auto"/>
        </w:rPr>
        <w:t xml:space="preserve">w załączniku nr 3 </w:t>
      </w:r>
      <w:r w:rsidR="0051001F" w:rsidRPr="00F0151C">
        <w:rPr>
          <w:rFonts w:ascii="Arial" w:hAnsi="Arial" w:cs="Arial"/>
          <w:i/>
          <w:iCs/>
          <w:color w:val="auto"/>
        </w:rPr>
        <w:t>Wysokość ekwiwalentu pieniężnego za pranie i</w:t>
      </w:r>
      <w:r w:rsidR="003B05C2" w:rsidRPr="00F0151C">
        <w:rPr>
          <w:rFonts w:ascii="Arial" w:hAnsi="Arial" w:cs="Arial"/>
          <w:i/>
          <w:iCs/>
          <w:color w:val="auto"/>
        </w:rPr>
        <w:t> </w:t>
      </w:r>
      <w:r w:rsidR="0051001F" w:rsidRPr="00F0151C">
        <w:rPr>
          <w:rFonts w:ascii="Arial" w:hAnsi="Arial" w:cs="Arial"/>
          <w:i/>
          <w:iCs/>
          <w:color w:val="auto"/>
        </w:rPr>
        <w:t>konserwację odzieży</w:t>
      </w:r>
      <w:r w:rsidR="0051001F" w:rsidRPr="00F0151C">
        <w:rPr>
          <w:rFonts w:ascii="Arial" w:hAnsi="Arial" w:cs="Arial"/>
          <w:color w:val="auto"/>
        </w:rPr>
        <w:t xml:space="preserve"> do regulaminu </w:t>
      </w:r>
      <w:r w:rsidR="003938C8" w:rsidRPr="00F0151C">
        <w:rPr>
          <w:rFonts w:ascii="Arial" w:hAnsi="Arial" w:cs="Arial"/>
          <w:color w:val="auto"/>
        </w:rPr>
        <w:t>przedstawiono kalkulację kosztów jednego prania w</w:t>
      </w:r>
      <w:r w:rsidR="003B05C2" w:rsidRPr="00F0151C">
        <w:rPr>
          <w:rFonts w:ascii="Arial" w:hAnsi="Arial" w:cs="Arial"/>
          <w:color w:val="auto"/>
        </w:rPr>
        <w:t> </w:t>
      </w:r>
      <w:r w:rsidR="003938C8" w:rsidRPr="00F0151C">
        <w:rPr>
          <w:rFonts w:ascii="Arial" w:hAnsi="Arial" w:cs="Arial"/>
          <w:color w:val="auto"/>
        </w:rPr>
        <w:t>oparciu o: średnią cenę detaliczną dwóch wybranych proszków do prania, zużycie energii, wody oraz amortyzację pralki. Ekwiwalent pieniężny w wysokości kosztów poniesionych przez pracownika za 3 prania w</w:t>
      </w:r>
      <w:r w:rsidR="0051001F" w:rsidRPr="00F0151C">
        <w:rPr>
          <w:rFonts w:ascii="Arial" w:hAnsi="Arial" w:cs="Arial"/>
          <w:color w:val="auto"/>
        </w:rPr>
        <w:t> </w:t>
      </w:r>
      <w:r w:rsidR="003938C8" w:rsidRPr="00F0151C">
        <w:rPr>
          <w:rFonts w:ascii="Arial" w:hAnsi="Arial" w:cs="Arial"/>
          <w:color w:val="auto"/>
        </w:rPr>
        <w:t xml:space="preserve">ciągu miesiąca ustanowiono na kwotę </w:t>
      </w:r>
      <w:r w:rsidR="00737703" w:rsidRPr="00F0151C">
        <w:rPr>
          <w:rFonts w:ascii="Arial" w:hAnsi="Arial" w:cs="Arial"/>
          <w:color w:val="auto"/>
        </w:rPr>
        <w:t xml:space="preserve"> </w:t>
      </w:r>
      <w:r w:rsidR="0059165D" w:rsidRPr="00F0151C">
        <w:rPr>
          <w:rFonts w:ascii="Arial" w:hAnsi="Arial" w:cs="Arial"/>
          <w:color w:val="auto"/>
        </w:rPr>
        <w:t>13,47 zł</w:t>
      </w:r>
      <w:r w:rsidR="003938C8" w:rsidRPr="00F0151C">
        <w:rPr>
          <w:rFonts w:ascii="Arial" w:hAnsi="Arial" w:cs="Arial"/>
          <w:color w:val="auto"/>
        </w:rPr>
        <w:t xml:space="preserve"> (aneks nr</w:t>
      </w:r>
      <w:r w:rsidR="004A7B7D" w:rsidRPr="00F0151C">
        <w:rPr>
          <w:rFonts w:ascii="Arial" w:hAnsi="Arial" w:cs="Arial"/>
          <w:color w:val="auto"/>
        </w:rPr>
        <w:t> </w:t>
      </w:r>
      <w:r w:rsidR="003938C8" w:rsidRPr="00F0151C">
        <w:rPr>
          <w:rFonts w:ascii="Arial" w:hAnsi="Arial" w:cs="Arial"/>
          <w:color w:val="auto"/>
        </w:rPr>
        <w:t xml:space="preserve">5/2023 r. z 1.02.2022 r. z mocą obowiązującą od 1.01.2022 r.). </w:t>
      </w:r>
      <w:r w:rsidR="0059165D" w:rsidRPr="00F0151C">
        <w:rPr>
          <w:rFonts w:ascii="Arial" w:hAnsi="Arial" w:cs="Arial"/>
          <w:color w:val="auto"/>
        </w:rPr>
        <w:t>A</w:t>
      </w:r>
      <w:r w:rsidR="000C404D" w:rsidRPr="00F0151C">
        <w:rPr>
          <w:rFonts w:ascii="Arial" w:hAnsi="Arial" w:cs="Arial"/>
          <w:color w:val="auto"/>
        </w:rPr>
        <w:t>neksem nr 7/2023 z</w:t>
      </w:r>
      <w:r w:rsidR="003B05C2" w:rsidRPr="00F0151C">
        <w:rPr>
          <w:rFonts w:ascii="Arial" w:hAnsi="Arial" w:cs="Arial"/>
          <w:color w:val="auto"/>
        </w:rPr>
        <w:t> </w:t>
      </w:r>
      <w:r w:rsidR="000C404D" w:rsidRPr="00F0151C">
        <w:rPr>
          <w:rFonts w:ascii="Arial" w:hAnsi="Arial" w:cs="Arial"/>
          <w:color w:val="auto"/>
        </w:rPr>
        <w:t xml:space="preserve">21.06.2023 r. z mocą obowiązywania od 1.01.2023 r. </w:t>
      </w:r>
      <w:r w:rsidR="0059165D" w:rsidRPr="00F0151C">
        <w:rPr>
          <w:rFonts w:ascii="Arial" w:hAnsi="Arial" w:cs="Arial"/>
          <w:color w:val="auto"/>
        </w:rPr>
        <w:t>zaktualizowano wysokość ekwiwalentu do kwoty</w:t>
      </w:r>
      <w:r w:rsidR="003938C8" w:rsidRPr="00F0151C">
        <w:rPr>
          <w:rFonts w:ascii="Arial" w:hAnsi="Arial" w:cs="Arial"/>
          <w:color w:val="auto"/>
        </w:rPr>
        <w:t xml:space="preserve"> 18,54 zł. Ponadto jeżeli pracownik niezależnie od przyczyn </w:t>
      </w:r>
      <w:r w:rsidR="003938C8" w:rsidRPr="00F0151C">
        <w:rPr>
          <w:rFonts w:ascii="Arial" w:hAnsi="Arial" w:cs="Arial"/>
          <w:color w:val="auto"/>
        </w:rPr>
        <w:lastRenderedPageBreak/>
        <w:t xml:space="preserve">przepracował mniej niż pół miesiąca (mniej niż połowa obowiązujących dni roboczych) </w:t>
      </w:r>
      <w:r w:rsidR="0051001F" w:rsidRPr="00F0151C">
        <w:rPr>
          <w:rFonts w:ascii="Arial" w:hAnsi="Arial" w:cs="Arial"/>
          <w:color w:val="auto"/>
        </w:rPr>
        <w:t>ekwiwalent pieniężny za dany miesiąc nie przysługuje, a</w:t>
      </w:r>
      <w:r w:rsidR="00D64481" w:rsidRPr="00F0151C">
        <w:rPr>
          <w:rFonts w:ascii="Arial" w:hAnsi="Arial" w:cs="Arial"/>
          <w:color w:val="auto"/>
        </w:rPr>
        <w:t> </w:t>
      </w:r>
      <w:r w:rsidR="003938C8" w:rsidRPr="00F0151C">
        <w:rPr>
          <w:rFonts w:ascii="Arial" w:hAnsi="Arial" w:cs="Arial"/>
          <w:color w:val="auto"/>
        </w:rPr>
        <w:t>pracownik zatrudniony w niepełnym wymiarze czasu pracy</w:t>
      </w:r>
      <w:r w:rsidR="0051001F" w:rsidRPr="00F0151C">
        <w:rPr>
          <w:rFonts w:ascii="Arial" w:hAnsi="Arial" w:cs="Arial"/>
          <w:color w:val="auto"/>
        </w:rPr>
        <w:t xml:space="preserve"> otrzymuje ekwiwalent pieniężny w wysokości proporcjonalnej do czasu zatrudnienia.</w:t>
      </w:r>
    </w:p>
    <w:p w14:paraId="04439C64" w14:textId="793F945C" w:rsidR="000C404D" w:rsidRPr="00F0151C" w:rsidRDefault="0085023C" w:rsidP="00DE0BC5">
      <w:pPr>
        <w:tabs>
          <w:tab w:val="left" w:pos="448"/>
        </w:tabs>
        <w:overflowPunct/>
        <w:spacing w:after="0" w:line="360" w:lineRule="auto"/>
        <w:jc w:val="both"/>
        <w:rPr>
          <w:rFonts w:ascii="Arial" w:hAnsi="Arial" w:cs="Arial"/>
          <w:color w:val="auto"/>
          <w:spacing w:val="-2"/>
        </w:rPr>
      </w:pPr>
      <w:r w:rsidRPr="00F0151C">
        <w:rPr>
          <w:rFonts w:ascii="Arial" w:hAnsi="Arial" w:cs="Arial"/>
          <w:color w:val="auto"/>
          <w:spacing w:val="-2"/>
        </w:rPr>
        <w:t>Ekwiwalent pieniężny jest wypłacany</w:t>
      </w:r>
      <w:r w:rsidR="000C404D" w:rsidRPr="00F0151C">
        <w:rPr>
          <w:rFonts w:ascii="Arial" w:hAnsi="Arial" w:cs="Arial"/>
          <w:color w:val="auto"/>
          <w:spacing w:val="-2"/>
        </w:rPr>
        <w:t>:</w:t>
      </w:r>
    </w:p>
    <w:p w14:paraId="105F6492" w14:textId="69319366" w:rsidR="0085023C" w:rsidRPr="00F0151C" w:rsidRDefault="00DE0BC5" w:rsidP="00384BC5">
      <w:pPr>
        <w:pStyle w:val="Akapitzlist"/>
        <w:numPr>
          <w:ilvl w:val="0"/>
          <w:numId w:val="14"/>
        </w:numPr>
        <w:tabs>
          <w:tab w:val="left" w:pos="426"/>
        </w:tabs>
        <w:overflowPunct/>
        <w:ind w:left="0" w:firstLine="0"/>
        <w:rPr>
          <w:rFonts w:ascii="Arial" w:hAnsi="Arial" w:cs="Arial"/>
          <w:color w:val="auto"/>
          <w:spacing w:val="-2"/>
          <w:sz w:val="22"/>
          <w:szCs w:val="22"/>
          <w:lang w:val="pl-PL"/>
        </w:rPr>
      </w:pPr>
      <w:r w:rsidRPr="00F0151C">
        <w:rPr>
          <w:rFonts w:ascii="Arial" w:hAnsi="Arial" w:cs="Arial"/>
          <w:color w:val="auto"/>
          <w:spacing w:val="-2"/>
          <w:sz w:val="22"/>
          <w:szCs w:val="22"/>
          <w:lang w:val="pl-PL"/>
        </w:rPr>
        <w:t>za odzież i obuwie robocze oraz środki ochrony indywidualnej 1 x w roku, w terminie do 15</w:t>
      </w:r>
      <w:r w:rsidR="0085023C" w:rsidRPr="00F0151C">
        <w:rPr>
          <w:rFonts w:ascii="Arial" w:hAnsi="Arial" w:cs="Arial"/>
          <w:color w:val="auto"/>
          <w:spacing w:val="-2"/>
          <w:sz w:val="22"/>
          <w:szCs w:val="22"/>
          <w:lang w:val="pl-PL"/>
        </w:rPr>
        <w:t>-go</w:t>
      </w:r>
      <w:r w:rsidRPr="00F0151C">
        <w:rPr>
          <w:rFonts w:ascii="Arial" w:hAnsi="Arial" w:cs="Arial"/>
          <w:color w:val="auto"/>
          <w:spacing w:val="-2"/>
          <w:sz w:val="22"/>
          <w:szCs w:val="22"/>
          <w:lang w:val="pl-PL"/>
        </w:rPr>
        <w:t xml:space="preserve"> </w:t>
      </w:r>
      <w:r w:rsidR="0085023C" w:rsidRPr="00F0151C">
        <w:rPr>
          <w:rFonts w:ascii="Arial" w:hAnsi="Arial" w:cs="Arial"/>
          <w:color w:val="auto"/>
          <w:spacing w:val="-2"/>
          <w:sz w:val="22"/>
          <w:szCs w:val="22"/>
          <w:lang w:val="pl-PL"/>
        </w:rPr>
        <w:t>stycznia następnego</w:t>
      </w:r>
      <w:r w:rsidRPr="00F0151C">
        <w:rPr>
          <w:rFonts w:ascii="Arial" w:hAnsi="Arial" w:cs="Arial"/>
          <w:color w:val="auto"/>
          <w:spacing w:val="-2"/>
          <w:sz w:val="22"/>
          <w:szCs w:val="22"/>
          <w:lang w:val="pl-PL"/>
        </w:rPr>
        <w:t xml:space="preserve"> roku, za który odzież i obuwie robocze przysługuje, </w:t>
      </w:r>
    </w:p>
    <w:p w14:paraId="09A289C3" w14:textId="19C1CD16" w:rsidR="00DE0BC5" w:rsidRPr="00F0151C" w:rsidRDefault="00DE0BC5" w:rsidP="00384BC5">
      <w:pPr>
        <w:pStyle w:val="Akapitzlist"/>
        <w:numPr>
          <w:ilvl w:val="0"/>
          <w:numId w:val="14"/>
        </w:numPr>
        <w:tabs>
          <w:tab w:val="left" w:pos="426"/>
        </w:tabs>
        <w:overflowPunct/>
        <w:ind w:left="0" w:firstLine="0"/>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za pranie i konserwację odzieży i obuwia roboczego, </w:t>
      </w:r>
      <w:r w:rsidR="0085023C" w:rsidRPr="00F0151C">
        <w:rPr>
          <w:rFonts w:ascii="Arial" w:hAnsi="Arial" w:cs="Arial"/>
          <w:color w:val="auto"/>
          <w:spacing w:val="-2"/>
          <w:sz w:val="22"/>
          <w:szCs w:val="22"/>
          <w:lang w:val="pl-PL"/>
        </w:rPr>
        <w:t>2</w:t>
      </w:r>
      <w:r w:rsidRPr="00F0151C">
        <w:rPr>
          <w:rFonts w:ascii="Arial" w:hAnsi="Arial" w:cs="Arial"/>
          <w:color w:val="auto"/>
          <w:spacing w:val="-2"/>
          <w:sz w:val="22"/>
          <w:szCs w:val="22"/>
          <w:lang w:val="pl-PL"/>
        </w:rPr>
        <w:t xml:space="preserve"> x </w:t>
      </w:r>
      <w:r w:rsidR="0085023C" w:rsidRPr="00F0151C">
        <w:rPr>
          <w:rFonts w:ascii="Arial" w:hAnsi="Arial" w:cs="Arial"/>
          <w:color w:val="auto"/>
          <w:spacing w:val="-2"/>
          <w:sz w:val="22"/>
          <w:szCs w:val="22"/>
          <w:lang w:val="pl-PL"/>
        </w:rPr>
        <w:t>w roku</w:t>
      </w:r>
      <w:r w:rsidRPr="00F0151C">
        <w:rPr>
          <w:rFonts w:ascii="Arial" w:hAnsi="Arial" w:cs="Arial"/>
          <w:color w:val="auto"/>
          <w:spacing w:val="-2"/>
          <w:sz w:val="22"/>
          <w:szCs w:val="22"/>
          <w:lang w:val="pl-PL"/>
        </w:rPr>
        <w:t xml:space="preserve">, w terminie do 15-go </w:t>
      </w:r>
      <w:r w:rsidR="0085023C" w:rsidRPr="00F0151C">
        <w:rPr>
          <w:rFonts w:ascii="Arial" w:hAnsi="Arial" w:cs="Arial"/>
          <w:color w:val="auto"/>
          <w:spacing w:val="-2"/>
          <w:sz w:val="22"/>
          <w:szCs w:val="22"/>
          <w:lang w:val="pl-PL"/>
        </w:rPr>
        <w:t xml:space="preserve">lipca za I półrocze oraz do 15-go stycznia za II półrocze. </w:t>
      </w:r>
    </w:p>
    <w:p w14:paraId="55FD05A6" w14:textId="19253A5B" w:rsidR="00DE0BC5" w:rsidRPr="00F0151C" w:rsidRDefault="00E859FA" w:rsidP="00E859FA">
      <w:pPr>
        <w:tabs>
          <w:tab w:val="left" w:pos="448"/>
        </w:tabs>
        <w:overflowPunct/>
        <w:spacing w:after="0" w:line="360" w:lineRule="auto"/>
        <w:jc w:val="both"/>
        <w:rPr>
          <w:rFonts w:ascii="Arial" w:hAnsi="Arial" w:cs="Arial"/>
          <w:bCs/>
          <w:color w:val="auto"/>
          <w:spacing w:val="-2"/>
        </w:rPr>
      </w:pPr>
      <w:r w:rsidRPr="00F0151C">
        <w:rPr>
          <w:rFonts w:ascii="Arial" w:hAnsi="Arial" w:cs="Arial"/>
          <w:bCs/>
          <w:color w:val="auto"/>
          <w:spacing w:val="-2"/>
        </w:rPr>
        <w:t>Wyrywkowa w</w:t>
      </w:r>
      <w:r w:rsidR="00DE0BC5" w:rsidRPr="00F0151C">
        <w:rPr>
          <w:rFonts w:ascii="Arial" w:hAnsi="Arial" w:cs="Arial"/>
          <w:bCs/>
          <w:color w:val="auto"/>
          <w:spacing w:val="-2"/>
        </w:rPr>
        <w:t>eryfikacja przedstawionych do kontroli „zestawień ekwiwalentu za nie pobraną odzież roboczą, ochronną za 20</w:t>
      </w:r>
      <w:r w:rsidRPr="00F0151C">
        <w:rPr>
          <w:rFonts w:ascii="Arial" w:hAnsi="Arial" w:cs="Arial"/>
          <w:bCs/>
          <w:color w:val="auto"/>
          <w:spacing w:val="-2"/>
        </w:rPr>
        <w:t>22</w:t>
      </w:r>
      <w:r w:rsidR="00DE0BC5" w:rsidRPr="00F0151C">
        <w:rPr>
          <w:rFonts w:ascii="Arial" w:hAnsi="Arial" w:cs="Arial"/>
          <w:bCs/>
          <w:color w:val="auto"/>
          <w:spacing w:val="-2"/>
        </w:rPr>
        <w:t xml:space="preserve"> r.” </w:t>
      </w:r>
      <w:r w:rsidR="0085023C" w:rsidRPr="00F0151C">
        <w:rPr>
          <w:rFonts w:ascii="Arial" w:hAnsi="Arial" w:cs="Arial"/>
          <w:bCs/>
          <w:color w:val="auto"/>
          <w:spacing w:val="-2"/>
        </w:rPr>
        <w:t>oraz „Lista płac – ekwiwalent za pranie i</w:t>
      </w:r>
      <w:r w:rsidR="00D64481" w:rsidRPr="00F0151C">
        <w:rPr>
          <w:rFonts w:ascii="Arial" w:hAnsi="Arial" w:cs="Arial"/>
          <w:bCs/>
          <w:color w:val="auto"/>
          <w:spacing w:val="-2"/>
        </w:rPr>
        <w:t> </w:t>
      </w:r>
      <w:r w:rsidR="0085023C" w:rsidRPr="00F0151C">
        <w:rPr>
          <w:rFonts w:ascii="Arial" w:hAnsi="Arial" w:cs="Arial"/>
          <w:bCs/>
          <w:color w:val="auto"/>
          <w:spacing w:val="-2"/>
        </w:rPr>
        <w:t xml:space="preserve">konserwację odzieży roboczej za okres od stycznia do maja oraz od lipca do grudnia 2022 r.” </w:t>
      </w:r>
      <w:r w:rsidRPr="00F0151C">
        <w:rPr>
          <w:rFonts w:ascii="Arial" w:hAnsi="Arial" w:cs="Arial"/>
          <w:bCs/>
          <w:color w:val="auto"/>
          <w:spacing w:val="-2"/>
        </w:rPr>
        <w:t xml:space="preserve">nie </w:t>
      </w:r>
      <w:r w:rsidR="00DE0BC5" w:rsidRPr="00F0151C">
        <w:rPr>
          <w:rFonts w:ascii="Arial" w:hAnsi="Arial" w:cs="Arial"/>
          <w:bCs/>
          <w:color w:val="auto"/>
          <w:spacing w:val="-2"/>
        </w:rPr>
        <w:t>wykazała nieprawidłowości w</w:t>
      </w:r>
      <w:r w:rsidR="008E30AC" w:rsidRPr="00F0151C">
        <w:rPr>
          <w:rFonts w:ascii="Arial" w:hAnsi="Arial" w:cs="Arial"/>
          <w:bCs/>
          <w:color w:val="auto"/>
          <w:spacing w:val="-2"/>
        </w:rPr>
        <w:t> </w:t>
      </w:r>
      <w:r w:rsidR="00DE0BC5" w:rsidRPr="00F0151C">
        <w:rPr>
          <w:rFonts w:ascii="Arial" w:hAnsi="Arial" w:cs="Arial"/>
          <w:bCs/>
          <w:color w:val="auto"/>
          <w:spacing w:val="-2"/>
        </w:rPr>
        <w:t xml:space="preserve">wyliczeniu wartości przysługującego pracownikom ekwiwalentu. </w:t>
      </w:r>
    </w:p>
    <w:p w14:paraId="3564F581" w14:textId="6A71F40B" w:rsidR="00375221" w:rsidRDefault="00AA2A6D" w:rsidP="00BE4A02">
      <w:pPr>
        <w:tabs>
          <w:tab w:val="left" w:pos="426"/>
        </w:tabs>
        <w:overflowPunct/>
        <w:spacing w:after="0" w:line="360" w:lineRule="auto"/>
        <w:jc w:val="both"/>
        <w:rPr>
          <w:rFonts w:ascii="Arial" w:hAnsi="Arial" w:cs="Arial"/>
          <w:color w:val="auto"/>
          <w:spacing w:val="-2"/>
        </w:rPr>
      </w:pPr>
      <w:r w:rsidRPr="00F0151C">
        <w:rPr>
          <w:rFonts w:ascii="Arial" w:hAnsi="Arial" w:cs="Arial"/>
          <w:color w:val="auto"/>
          <w:spacing w:val="-2"/>
        </w:rPr>
        <w:tab/>
      </w:r>
      <w:r w:rsidR="00DE0BC5" w:rsidRPr="00F0151C">
        <w:rPr>
          <w:rFonts w:ascii="Arial" w:hAnsi="Arial" w:cs="Arial"/>
          <w:color w:val="auto"/>
          <w:spacing w:val="-2"/>
        </w:rPr>
        <w:t xml:space="preserve">Zgodnie z </w:t>
      </w:r>
      <w:r w:rsidRPr="00F0151C">
        <w:rPr>
          <w:rFonts w:ascii="Arial" w:hAnsi="Arial" w:cs="Arial"/>
          <w:color w:val="auto"/>
          <w:spacing w:val="-2"/>
        </w:rPr>
        <w:t xml:space="preserve">zapisami rozdziału 5 regulaminu pracodawca zapewnia pracownikom zatrudnionym na stanowiskach wyposażonych w monitor ekranowy refundację zakupu okularów korygujących wzrok, jeżeli pracownik użytkuje monitor ekranowy co najmniej przez połowę dobowego wymiaru czasu pracy. Pracownik, któremu lekarz okulista podczas pracowniczych, profilaktycznych badań lekarskich, na podstawie skierowania wydanego przez pracodawcę, zalecił stosowanie okularów korygujących wzrok z filtrem ochronnym i wydał stosowne zaświadczenie lekarskie, może ubiegać się o kwotę refundowaną za zakup okularów korekcyjnych do pracy przy monitorze ekranowym, w terminie 30 dni kalendarzowych od daty ww. badania lekarskiego z zastrzeżeniem ust. </w:t>
      </w:r>
      <w:r w:rsidR="00292853" w:rsidRPr="00F0151C">
        <w:rPr>
          <w:rFonts w:ascii="Arial" w:hAnsi="Arial" w:cs="Arial"/>
          <w:color w:val="auto"/>
          <w:spacing w:val="-2"/>
        </w:rPr>
        <w:t xml:space="preserve">9, tj. </w:t>
      </w:r>
      <w:r w:rsidR="00124B40" w:rsidRPr="00F0151C">
        <w:rPr>
          <w:rFonts w:ascii="Arial" w:hAnsi="Arial" w:cs="Arial"/>
          <w:color w:val="auto"/>
          <w:spacing w:val="-2"/>
        </w:rPr>
        <w:t xml:space="preserve">w przypadku </w:t>
      </w:r>
      <w:r w:rsidR="00A7598A" w:rsidRPr="00F0151C">
        <w:rPr>
          <w:rFonts w:ascii="Arial" w:hAnsi="Arial" w:cs="Arial"/>
          <w:color w:val="auto"/>
          <w:spacing w:val="-2"/>
        </w:rPr>
        <w:t xml:space="preserve">gdy przed datą ponownego kolejnego badania okresowego wskazaną w orzeczeniu lekarskim nastąpiło </w:t>
      </w:r>
      <w:r w:rsidR="00124B40" w:rsidRPr="00F0151C">
        <w:rPr>
          <w:rFonts w:ascii="Arial" w:hAnsi="Arial" w:cs="Arial"/>
          <w:color w:val="auto"/>
          <w:spacing w:val="-2"/>
        </w:rPr>
        <w:t>pogorszeni</w:t>
      </w:r>
      <w:r w:rsidR="00A7598A" w:rsidRPr="00F0151C">
        <w:rPr>
          <w:rFonts w:ascii="Arial" w:hAnsi="Arial" w:cs="Arial"/>
          <w:color w:val="auto"/>
          <w:spacing w:val="-2"/>
        </w:rPr>
        <w:t xml:space="preserve">e się </w:t>
      </w:r>
      <w:r w:rsidR="00124B40" w:rsidRPr="00F0151C">
        <w:rPr>
          <w:rFonts w:ascii="Arial" w:hAnsi="Arial" w:cs="Arial"/>
          <w:color w:val="auto"/>
          <w:spacing w:val="-2"/>
        </w:rPr>
        <w:t xml:space="preserve"> wzroku </w:t>
      </w:r>
      <w:r w:rsidR="00A7598A" w:rsidRPr="00F0151C">
        <w:rPr>
          <w:rFonts w:ascii="Arial" w:hAnsi="Arial" w:cs="Arial"/>
          <w:color w:val="auto"/>
          <w:spacing w:val="-2"/>
        </w:rPr>
        <w:t>wymagające stosowania okularów (…) pracownik może zwrócić się z prośbą o</w:t>
      </w:r>
      <w:r w:rsidR="003B05C2" w:rsidRPr="00F0151C">
        <w:rPr>
          <w:rFonts w:ascii="Arial" w:hAnsi="Arial" w:cs="Arial"/>
          <w:color w:val="auto"/>
          <w:spacing w:val="-2"/>
        </w:rPr>
        <w:t> </w:t>
      </w:r>
      <w:r w:rsidR="00A7598A" w:rsidRPr="00F0151C">
        <w:rPr>
          <w:rFonts w:ascii="Arial" w:hAnsi="Arial" w:cs="Arial"/>
          <w:color w:val="auto"/>
          <w:spacing w:val="-2"/>
        </w:rPr>
        <w:t xml:space="preserve">skierowanie na ponowne badanie okresowe i jeżeli w wyniku tego badania zostanie </w:t>
      </w:r>
      <w:r w:rsidR="00D20CBA" w:rsidRPr="00F0151C">
        <w:rPr>
          <w:rFonts w:ascii="Arial" w:hAnsi="Arial" w:cs="Arial"/>
          <w:color w:val="auto"/>
          <w:spacing w:val="-2"/>
        </w:rPr>
        <w:t xml:space="preserve"> wydane zaświadczenie (…) pracownik może skorzystać z refundacji zakupów okularów korekcyjnych lub szkieł </w:t>
      </w:r>
      <w:r w:rsidR="00124B40" w:rsidRPr="00F0151C">
        <w:rPr>
          <w:rFonts w:ascii="Arial" w:hAnsi="Arial" w:cs="Arial"/>
          <w:color w:val="auto"/>
          <w:spacing w:val="-2"/>
        </w:rPr>
        <w:t xml:space="preserve">oraz </w:t>
      </w:r>
      <w:r w:rsidR="00A7598A" w:rsidRPr="00F0151C">
        <w:rPr>
          <w:rFonts w:ascii="Arial" w:hAnsi="Arial" w:cs="Arial"/>
          <w:color w:val="auto"/>
          <w:spacing w:val="-2"/>
        </w:rPr>
        <w:t xml:space="preserve">w </w:t>
      </w:r>
      <w:r w:rsidR="00124B40" w:rsidRPr="00F0151C">
        <w:rPr>
          <w:rFonts w:ascii="Arial" w:hAnsi="Arial" w:cs="Arial"/>
          <w:color w:val="auto"/>
          <w:spacing w:val="-2"/>
        </w:rPr>
        <w:t xml:space="preserve">przypadku ogłoszenia na obszarze RP lub Województwa Śląskiego stanu zagrożenia epidemiologicznego lub stanu epidemii, pracownik może ubiegać się o kwotę refundowaną za zakup okularów korekcyjnych do pracy </w:t>
      </w:r>
      <w:r w:rsidR="00A7598A" w:rsidRPr="00F0151C">
        <w:rPr>
          <w:rFonts w:ascii="Arial" w:hAnsi="Arial" w:cs="Arial"/>
          <w:color w:val="auto"/>
          <w:spacing w:val="-2"/>
        </w:rPr>
        <w:t>przy monitorze ekranowym, w terminie do 30 dni kalendarzowych od dnia odwołania stanu zagrożenia epidemicznego albo stanu epidemii ogłoszonego z powodu COVID -19, nie później jednak niż do następnego badania lekarskiego wskazanego w orzeczeniu lekarskim wydanym na podstawie</w:t>
      </w:r>
      <w:r w:rsidR="00D04C13" w:rsidRPr="00F0151C">
        <w:rPr>
          <w:rFonts w:ascii="Arial" w:hAnsi="Arial" w:cs="Arial"/>
          <w:color w:val="auto"/>
          <w:spacing w:val="-2"/>
        </w:rPr>
        <w:t xml:space="preserve"> </w:t>
      </w:r>
      <w:r w:rsidR="00A7598A" w:rsidRPr="00F0151C">
        <w:rPr>
          <w:rFonts w:ascii="Arial" w:hAnsi="Arial" w:cs="Arial"/>
          <w:color w:val="auto"/>
          <w:spacing w:val="-2"/>
        </w:rPr>
        <w:t xml:space="preserve">skierowania przez Pracodawcę. </w:t>
      </w:r>
      <w:r w:rsidR="00D20CBA" w:rsidRPr="00F0151C">
        <w:rPr>
          <w:rFonts w:ascii="Arial" w:hAnsi="Arial" w:cs="Arial"/>
          <w:color w:val="auto"/>
          <w:spacing w:val="-2"/>
        </w:rPr>
        <w:t xml:space="preserve">Pracownicy skorzystali z powyższych zapisów w latach poddanych kontroli. </w:t>
      </w:r>
      <w:r w:rsidRPr="00F0151C">
        <w:rPr>
          <w:rFonts w:ascii="Arial" w:hAnsi="Arial" w:cs="Arial"/>
          <w:color w:val="auto"/>
          <w:spacing w:val="-2"/>
        </w:rPr>
        <w:t xml:space="preserve">Wysokość refundowanej kwoty </w:t>
      </w:r>
      <w:r w:rsidR="00D70FE5" w:rsidRPr="00F0151C">
        <w:rPr>
          <w:rFonts w:ascii="Arial" w:hAnsi="Arial" w:cs="Arial"/>
          <w:color w:val="auto"/>
          <w:spacing w:val="-2"/>
        </w:rPr>
        <w:t>na 2022 r.</w:t>
      </w:r>
      <w:r w:rsidR="00124B40" w:rsidRPr="00F0151C">
        <w:rPr>
          <w:rFonts w:ascii="Arial" w:hAnsi="Arial" w:cs="Arial"/>
          <w:color w:val="auto"/>
          <w:spacing w:val="-2"/>
        </w:rPr>
        <w:t xml:space="preserve"> i 2023 r.</w:t>
      </w:r>
      <w:r w:rsidR="00D70FE5" w:rsidRPr="00F0151C">
        <w:rPr>
          <w:rFonts w:ascii="Arial" w:hAnsi="Arial" w:cs="Arial"/>
          <w:color w:val="auto"/>
          <w:spacing w:val="-2"/>
        </w:rPr>
        <w:t xml:space="preserve"> wynosiła do 200 zł.</w:t>
      </w:r>
      <w:r w:rsidRPr="00F0151C">
        <w:rPr>
          <w:rFonts w:ascii="Arial" w:hAnsi="Arial" w:cs="Arial"/>
          <w:color w:val="auto"/>
          <w:spacing w:val="-2"/>
        </w:rPr>
        <w:t xml:space="preserve"> </w:t>
      </w:r>
      <w:r w:rsidR="00D20CBA" w:rsidRPr="00F0151C">
        <w:rPr>
          <w:rFonts w:ascii="Arial" w:hAnsi="Arial" w:cs="Arial"/>
          <w:color w:val="auto"/>
          <w:spacing w:val="-2"/>
        </w:rPr>
        <w:t>Zgodnie z zapisami regulaminu z</w:t>
      </w:r>
      <w:r w:rsidR="00D04C13" w:rsidRPr="00F0151C">
        <w:rPr>
          <w:rFonts w:ascii="Arial" w:hAnsi="Arial" w:cs="Arial"/>
          <w:color w:val="auto"/>
          <w:spacing w:val="-2"/>
        </w:rPr>
        <w:t xml:space="preserve">wrot kwoty refundowanej nastąpi po przedłożeniu zapłaconej faktury za zakup okularów korygujących wzrok, której nabywcą (odbiorcą) jest pracownik MZBM w Tychach. </w:t>
      </w:r>
      <w:r w:rsidR="007C0AF5" w:rsidRPr="00F0151C">
        <w:rPr>
          <w:rFonts w:ascii="Arial" w:hAnsi="Arial" w:cs="Arial"/>
          <w:color w:val="auto"/>
          <w:spacing w:val="-2"/>
        </w:rPr>
        <w:t xml:space="preserve">Do </w:t>
      </w:r>
      <w:r w:rsidR="007C0AF5" w:rsidRPr="00F0151C">
        <w:rPr>
          <w:rFonts w:ascii="Arial" w:hAnsi="Arial" w:cs="Arial"/>
          <w:color w:val="auto"/>
          <w:spacing w:val="-2"/>
        </w:rPr>
        <w:lastRenderedPageBreak/>
        <w:t xml:space="preserve">kontroli przedłożono 18 </w:t>
      </w:r>
      <w:r w:rsidR="00DE0BC5" w:rsidRPr="00F0151C">
        <w:rPr>
          <w:rFonts w:ascii="Arial" w:hAnsi="Arial" w:cs="Arial"/>
          <w:color w:val="auto"/>
          <w:spacing w:val="-2"/>
        </w:rPr>
        <w:t>wniosk</w:t>
      </w:r>
      <w:r w:rsidR="007C0AF5" w:rsidRPr="00F0151C">
        <w:rPr>
          <w:rFonts w:ascii="Arial" w:hAnsi="Arial" w:cs="Arial"/>
          <w:color w:val="auto"/>
          <w:spacing w:val="-2"/>
        </w:rPr>
        <w:t>ów</w:t>
      </w:r>
      <w:r w:rsidR="00DE0BC5" w:rsidRPr="00F0151C">
        <w:rPr>
          <w:rFonts w:ascii="Arial" w:hAnsi="Arial" w:cs="Arial"/>
          <w:color w:val="auto"/>
          <w:spacing w:val="-2"/>
        </w:rPr>
        <w:t xml:space="preserve"> pracowników o refundację kosztów poniesionych na zakup okularów korygujących wzrok</w:t>
      </w:r>
      <w:r w:rsidR="007C0AF5" w:rsidRPr="00F0151C">
        <w:rPr>
          <w:rFonts w:ascii="Arial" w:hAnsi="Arial" w:cs="Arial"/>
          <w:color w:val="auto"/>
          <w:spacing w:val="-2"/>
        </w:rPr>
        <w:t xml:space="preserve">, faktury za zakup okularów </w:t>
      </w:r>
      <w:r w:rsidR="00DE0BC5" w:rsidRPr="00F0151C">
        <w:rPr>
          <w:rFonts w:ascii="Arial" w:hAnsi="Arial" w:cs="Arial"/>
          <w:color w:val="auto"/>
          <w:spacing w:val="-2"/>
        </w:rPr>
        <w:t xml:space="preserve">oraz </w:t>
      </w:r>
      <w:r w:rsidR="00814E43" w:rsidRPr="00F0151C">
        <w:rPr>
          <w:rFonts w:ascii="Arial" w:hAnsi="Arial" w:cs="Arial"/>
          <w:color w:val="auto"/>
          <w:spacing w:val="-2"/>
        </w:rPr>
        <w:t>orzeczenia lekarskie wydane przez lekarza medycyny pracy</w:t>
      </w:r>
      <w:r w:rsidR="007C0AF5" w:rsidRPr="00F0151C">
        <w:rPr>
          <w:rFonts w:ascii="Arial" w:hAnsi="Arial" w:cs="Arial"/>
          <w:color w:val="auto"/>
          <w:spacing w:val="-2"/>
        </w:rPr>
        <w:t xml:space="preserve"> z</w:t>
      </w:r>
      <w:r w:rsidR="00292853" w:rsidRPr="00F0151C">
        <w:rPr>
          <w:rFonts w:ascii="Arial" w:hAnsi="Arial" w:cs="Arial"/>
          <w:color w:val="auto"/>
          <w:spacing w:val="-2"/>
        </w:rPr>
        <w:t> </w:t>
      </w:r>
      <w:r w:rsidR="007C0AF5" w:rsidRPr="00F0151C">
        <w:rPr>
          <w:rFonts w:ascii="Arial" w:hAnsi="Arial" w:cs="Arial"/>
          <w:color w:val="auto"/>
          <w:spacing w:val="-2"/>
        </w:rPr>
        <w:t xml:space="preserve">informacją </w:t>
      </w:r>
      <w:r w:rsidR="00DE0BC5" w:rsidRPr="00F0151C">
        <w:rPr>
          <w:rFonts w:ascii="Arial" w:hAnsi="Arial" w:cs="Arial"/>
          <w:color w:val="auto"/>
          <w:spacing w:val="-2"/>
        </w:rPr>
        <w:t>o potrzebie stosowania przez pracownika okularów korygujących wzrok podczas pracy przy obsłudze monitora ekranowego</w:t>
      </w:r>
      <w:r w:rsidR="004D3247" w:rsidRPr="00F0151C">
        <w:rPr>
          <w:rFonts w:ascii="Arial" w:hAnsi="Arial" w:cs="Arial"/>
          <w:color w:val="auto"/>
          <w:spacing w:val="-2"/>
        </w:rPr>
        <w:t>, złożonych w 2022 roku oraz 3 złożone w 2023 r</w:t>
      </w:r>
      <w:r w:rsidR="00DE0BC5" w:rsidRPr="00F0151C">
        <w:rPr>
          <w:rFonts w:ascii="Arial" w:hAnsi="Arial" w:cs="Arial"/>
          <w:color w:val="auto"/>
          <w:spacing w:val="-2"/>
        </w:rPr>
        <w:t>.</w:t>
      </w:r>
      <w:r w:rsidR="00A33709" w:rsidRPr="00F0151C">
        <w:rPr>
          <w:rFonts w:ascii="Arial" w:hAnsi="Arial" w:cs="Arial"/>
          <w:color w:val="auto"/>
          <w:spacing w:val="-2"/>
        </w:rPr>
        <w:t xml:space="preserve"> </w:t>
      </w:r>
      <w:r w:rsidR="007C0AF5" w:rsidRPr="00F0151C">
        <w:rPr>
          <w:rFonts w:ascii="Arial" w:hAnsi="Arial" w:cs="Arial"/>
          <w:color w:val="auto"/>
          <w:spacing w:val="-2"/>
        </w:rPr>
        <w:t>Weryfikacja</w:t>
      </w:r>
      <w:r w:rsidR="00B32312" w:rsidRPr="00F0151C">
        <w:rPr>
          <w:rFonts w:ascii="Arial" w:hAnsi="Arial" w:cs="Arial"/>
          <w:color w:val="auto"/>
          <w:spacing w:val="-2"/>
        </w:rPr>
        <w:t xml:space="preserve"> ww. dokumentów </w:t>
      </w:r>
      <w:r w:rsidR="00292853" w:rsidRPr="00F0151C">
        <w:rPr>
          <w:rFonts w:ascii="Arial" w:hAnsi="Arial" w:cs="Arial"/>
          <w:color w:val="auto"/>
          <w:spacing w:val="-2"/>
        </w:rPr>
        <w:t xml:space="preserve">nie </w:t>
      </w:r>
      <w:r w:rsidR="00B32312" w:rsidRPr="00F0151C">
        <w:rPr>
          <w:rFonts w:ascii="Arial" w:hAnsi="Arial" w:cs="Arial"/>
          <w:color w:val="auto"/>
          <w:spacing w:val="-2"/>
        </w:rPr>
        <w:t>wykazała nieprawidłowości</w:t>
      </w:r>
      <w:r w:rsidR="00292853" w:rsidRPr="00F0151C">
        <w:rPr>
          <w:rFonts w:ascii="Arial" w:hAnsi="Arial" w:cs="Arial"/>
          <w:color w:val="auto"/>
          <w:spacing w:val="-2"/>
        </w:rPr>
        <w:t>.</w:t>
      </w:r>
    </w:p>
    <w:p w14:paraId="7F414B0C" w14:textId="77777777" w:rsidR="004F74DE" w:rsidRPr="00F0151C" w:rsidRDefault="004F74DE" w:rsidP="00BE4A02">
      <w:pPr>
        <w:tabs>
          <w:tab w:val="left" w:pos="426"/>
        </w:tabs>
        <w:overflowPunct/>
        <w:spacing w:after="0" w:line="360" w:lineRule="auto"/>
        <w:jc w:val="both"/>
        <w:rPr>
          <w:rFonts w:ascii="Arial" w:hAnsi="Arial" w:cs="Arial"/>
          <w:color w:val="auto"/>
          <w:spacing w:val="-2"/>
        </w:rPr>
      </w:pPr>
    </w:p>
    <w:p w14:paraId="7B20ED7D" w14:textId="5A5A6B7A" w:rsidR="00794471" w:rsidRPr="00F0151C" w:rsidRDefault="00794471" w:rsidP="00285E7D">
      <w:pPr>
        <w:numPr>
          <w:ilvl w:val="2"/>
          <w:numId w:val="27"/>
        </w:numPr>
        <w:tabs>
          <w:tab w:val="left" w:pos="426"/>
        </w:tabs>
        <w:spacing w:after="0" w:line="360" w:lineRule="auto"/>
        <w:ind w:left="709" w:hanging="709"/>
        <w:rPr>
          <w:rFonts w:ascii="Arial" w:hAnsi="Arial" w:cs="Arial"/>
          <w:b/>
          <w:bCs/>
          <w:color w:val="auto"/>
        </w:rPr>
      </w:pPr>
      <w:r w:rsidRPr="00F0151C">
        <w:rPr>
          <w:rFonts w:ascii="Arial" w:hAnsi="Arial" w:cs="Arial"/>
          <w:b/>
          <w:bCs/>
          <w:color w:val="auto"/>
        </w:rPr>
        <w:t>Samochód służbowy</w:t>
      </w:r>
    </w:p>
    <w:p w14:paraId="7C9580C6" w14:textId="30AC45C7" w:rsidR="00375221" w:rsidRDefault="00DE0BC5" w:rsidP="008C481C">
      <w:pPr>
        <w:spacing w:after="0" w:line="360" w:lineRule="auto"/>
        <w:ind w:firstLine="709"/>
        <w:jc w:val="both"/>
        <w:rPr>
          <w:rFonts w:ascii="Arial" w:eastAsia="Times New Roman" w:hAnsi="Arial" w:cs="Arial"/>
          <w:b/>
          <w:color w:val="auto"/>
          <w:spacing w:val="-2"/>
        </w:rPr>
      </w:pPr>
      <w:r w:rsidRPr="00F0151C">
        <w:rPr>
          <w:rFonts w:ascii="Arial" w:eastAsia="Times New Roman" w:hAnsi="Arial" w:cs="Arial"/>
          <w:color w:val="auto"/>
          <w:spacing w:val="-2"/>
        </w:rPr>
        <w:t xml:space="preserve">Weryfikacji poddano ewidencje samochodu służbowego w zakresie rozliczania przebiegu przejechanych kilometrów w </w:t>
      </w:r>
      <w:r w:rsidR="0021775A" w:rsidRPr="00F0151C">
        <w:rPr>
          <w:rFonts w:ascii="Arial" w:eastAsia="Times New Roman" w:hAnsi="Arial" w:cs="Arial"/>
          <w:color w:val="auto"/>
          <w:spacing w:val="-2"/>
        </w:rPr>
        <w:t>2022 r</w:t>
      </w:r>
      <w:r w:rsidRPr="00F0151C">
        <w:rPr>
          <w:rFonts w:ascii="Arial" w:eastAsia="Times New Roman" w:hAnsi="Arial" w:cs="Arial"/>
          <w:color w:val="auto"/>
          <w:spacing w:val="-2"/>
        </w:rPr>
        <w:t xml:space="preserve">. Z przedstawionych do kontroli ewidencji przebiegu kilometrów i paliwa pojazdu oraz specjalnie założonego do tego celu </w:t>
      </w:r>
      <w:r w:rsidR="0021775A" w:rsidRPr="00F0151C">
        <w:rPr>
          <w:rFonts w:ascii="Arial" w:eastAsia="Times New Roman" w:hAnsi="Arial" w:cs="Arial"/>
          <w:color w:val="auto"/>
          <w:spacing w:val="-2"/>
        </w:rPr>
        <w:t>skoroszyt</w:t>
      </w:r>
      <w:r w:rsidR="00F52F23" w:rsidRPr="00F0151C">
        <w:rPr>
          <w:rFonts w:ascii="Arial" w:eastAsia="Times New Roman" w:hAnsi="Arial" w:cs="Arial"/>
          <w:color w:val="auto"/>
          <w:spacing w:val="-2"/>
        </w:rPr>
        <w:t>u</w:t>
      </w:r>
      <w:r w:rsidRPr="00F0151C">
        <w:rPr>
          <w:rFonts w:ascii="Arial" w:eastAsia="Times New Roman" w:hAnsi="Arial" w:cs="Arial"/>
          <w:color w:val="auto"/>
          <w:spacing w:val="-2"/>
        </w:rPr>
        <w:t xml:space="preserve"> wynika, </w:t>
      </w:r>
      <w:r w:rsidR="00500726" w:rsidRPr="00F0151C">
        <w:rPr>
          <w:rFonts w:ascii="Arial" w:eastAsia="Times New Roman" w:hAnsi="Arial" w:cs="Arial"/>
          <w:color w:val="auto"/>
          <w:spacing w:val="-2"/>
        </w:rPr>
        <w:t>że </w:t>
      </w:r>
      <w:r w:rsidRPr="00F0151C">
        <w:rPr>
          <w:rFonts w:ascii="Arial" w:eastAsia="Times New Roman" w:hAnsi="Arial" w:cs="Arial"/>
          <w:color w:val="auto"/>
          <w:spacing w:val="-2"/>
        </w:rPr>
        <w:t xml:space="preserve">samochód służbowy we wskazanym okresie wykorzystywany był tylko przez jednego pracownika. </w:t>
      </w:r>
      <w:r w:rsidR="00500726" w:rsidRPr="00F0151C">
        <w:rPr>
          <w:rFonts w:ascii="Arial" w:eastAsia="Times New Roman" w:hAnsi="Arial" w:cs="Arial"/>
          <w:color w:val="auto"/>
          <w:spacing w:val="-2"/>
        </w:rPr>
        <w:t>W zakresie rozliczania nie wykazano nieprawidłowości.</w:t>
      </w:r>
      <w:r w:rsidR="00500726" w:rsidRPr="00F0151C">
        <w:rPr>
          <w:rFonts w:ascii="Arial" w:eastAsia="Times New Roman" w:hAnsi="Arial" w:cs="Arial"/>
          <w:b/>
          <w:color w:val="auto"/>
          <w:spacing w:val="-2"/>
        </w:rPr>
        <w:t xml:space="preserve"> </w:t>
      </w:r>
      <w:r w:rsidRPr="00F0151C">
        <w:rPr>
          <w:rFonts w:ascii="Arial" w:eastAsia="Times New Roman" w:hAnsi="Arial" w:cs="Arial"/>
          <w:b/>
          <w:color w:val="auto"/>
          <w:spacing w:val="-2"/>
        </w:rPr>
        <w:t xml:space="preserve"> </w:t>
      </w:r>
    </w:p>
    <w:p w14:paraId="33B598EC" w14:textId="77777777" w:rsidR="004F74DE" w:rsidRPr="00F0151C" w:rsidRDefault="004F74DE" w:rsidP="008C481C">
      <w:pPr>
        <w:spacing w:after="0" w:line="360" w:lineRule="auto"/>
        <w:ind w:firstLine="709"/>
        <w:jc w:val="both"/>
        <w:rPr>
          <w:rFonts w:ascii="Arial" w:eastAsia="Times New Roman" w:hAnsi="Arial" w:cs="Arial"/>
          <w:b/>
          <w:color w:val="auto"/>
          <w:spacing w:val="-2"/>
        </w:rPr>
      </w:pPr>
    </w:p>
    <w:p w14:paraId="59BA37FB" w14:textId="77777777" w:rsidR="00DE0BC5" w:rsidRPr="00F0151C" w:rsidRDefault="00DE0BC5" w:rsidP="00285E7D">
      <w:pPr>
        <w:pStyle w:val="Akapitzlist"/>
        <w:numPr>
          <w:ilvl w:val="2"/>
          <w:numId w:val="27"/>
        </w:numPr>
        <w:tabs>
          <w:tab w:val="left" w:pos="-2694"/>
        </w:tabs>
        <w:ind w:left="728" w:hanging="728"/>
        <w:rPr>
          <w:rFonts w:ascii="Arial" w:hAnsi="Arial" w:cs="Arial"/>
          <w:b/>
          <w:color w:val="auto"/>
          <w:sz w:val="22"/>
          <w:szCs w:val="22"/>
          <w:lang w:val="pl-PL"/>
        </w:rPr>
      </w:pPr>
      <w:r w:rsidRPr="00F0151C">
        <w:rPr>
          <w:rFonts w:ascii="Arial" w:eastAsiaTheme="minorHAnsi" w:hAnsi="Arial" w:cs="Arial"/>
          <w:b/>
          <w:color w:val="auto"/>
          <w:sz w:val="22"/>
          <w:szCs w:val="22"/>
          <w:lang w:val="pl-PL" w:eastAsia="en-US"/>
        </w:rPr>
        <w:t>Wydatki dotyczące użytkowania samochodów prywatnych do celów służbowych oraz z tytułu podróży służbowych</w:t>
      </w:r>
    </w:p>
    <w:p w14:paraId="452E05A1" w14:textId="59EA0846" w:rsidR="0021775A" w:rsidRPr="00F0151C" w:rsidRDefault="00DE0BC5" w:rsidP="0013373D">
      <w:pPr>
        <w:tabs>
          <w:tab w:val="left" w:pos="709"/>
        </w:tabs>
        <w:spacing w:after="0" w:line="360" w:lineRule="auto"/>
        <w:jc w:val="both"/>
        <w:rPr>
          <w:rFonts w:ascii="Arial" w:eastAsia="Times New Roman" w:hAnsi="Arial" w:cs="Arial"/>
          <w:b/>
          <w:color w:val="auto"/>
          <w:spacing w:val="-2"/>
        </w:rPr>
      </w:pPr>
      <w:r w:rsidRPr="00F0151C">
        <w:rPr>
          <w:rFonts w:ascii="Arial" w:eastAsia="Times New Roman" w:hAnsi="Arial" w:cs="Arial"/>
          <w:color w:val="auto"/>
          <w:spacing w:val="-2"/>
        </w:rPr>
        <w:tab/>
        <w:t xml:space="preserve">Zgodnie z </w:t>
      </w:r>
      <w:r w:rsidR="00DC1ED6" w:rsidRPr="00F0151C">
        <w:rPr>
          <w:rFonts w:ascii="Arial" w:eastAsia="Times New Roman" w:hAnsi="Arial" w:cs="Arial"/>
          <w:color w:val="auto"/>
          <w:spacing w:val="-2"/>
        </w:rPr>
        <w:t xml:space="preserve">Rozporządzenie Ministra Infrastruktury z dnia 25 marca 2002 r. w sprawie warunków ustalania oraz sposobu dokonywania zwrotu kosztów używania do celów służbowych samochodów osobowych, motocykli i motorowerów niebędących własnością pracodawcy (Dz. U. Nr 27, poz. 271 z późn. zm.) </w:t>
      </w:r>
      <w:r w:rsidRPr="00F0151C">
        <w:rPr>
          <w:rFonts w:ascii="Arial" w:eastAsia="Times New Roman" w:hAnsi="Arial" w:cs="Arial"/>
          <w:i/>
          <w:iCs/>
          <w:color w:val="auto"/>
          <w:spacing w:val="-2"/>
        </w:rPr>
        <w:t>z</w:t>
      </w:r>
      <w:r w:rsidRPr="00F0151C">
        <w:rPr>
          <w:rStyle w:val="Uwydatnienie"/>
          <w:rFonts w:ascii="Arial" w:hAnsi="Arial" w:cs="Arial"/>
          <w:i w:val="0"/>
          <w:iCs w:val="0"/>
          <w:color w:val="auto"/>
          <w:spacing w:val="-2"/>
        </w:rPr>
        <w:t>wrot kosztów używania</w:t>
      </w:r>
      <w:r w:rsidRPr="00F0151C">
        <w:rPr>
          <w:rFonts w:ascii="Arial" w:hAnsi="Arial" w:cs="Arial"/>
          <w:i/>
          <w:iCs/>
          <w:color w:val="auto"/>
          <w:spacing w:val="-2"/>
        </w:rPr>
        <w:t xml:space="preserve"> </w:t>
      </w:r>
      <w:r w:rsidRPr="00F0151C">
        <w:rPr>
          <w:rFonts w:ascii="Arial" w:hAnsi="Arial" w:cs="Arial"/>
          <w:color w:val="auto"/>
          <w:spacing w:val="-2"/>
        </w:rPr>
        <w:t>przez pracownika w</w:t>
      </w:r>
      <w:r w:rsidR="00DC1ED6" w:rsidRPr="00F0151C">
        <w:rPr>
          <w:rFonts w:ascii="Arial" w:hAnsi="Arial" w:cs="Arial"/>
          <w:color w:val="auto"/>
          <w:spacing w:val="-2"/>
        </w:rPr>
        <w:t> </w:t>
      </w:r>
      <w:r w:rsidRPr="00F0151C">
        <w:rPr>
          <w:rStyle w:val="Uwydatnienie"/>
          <w:rFonts w:ascii="Arial" w:hAnsi="Arial" w:cs="Arial"/>
          <w:i w:val="0"/>
          <w:iCs w:val="0"/>
          <w:color w:val="auto"/>
          <w:spacing w:val="-2"/>
        </w:rPr>
        <w:t>celach służbowych</w:t>
      </w:r>
      <w:r w:rsidRPr="00F0151C">
        <w:rPr>
          <w:rFonts w:ascii="Arial" w:hAnsi="Arial" w:cs="Arial"/>
          <w:i/>
          <w:iCs/>
          <w:color w:val="auto"/>
          <w:spacing w:val="-2"/>
        </w:rPr>
        <w:t xml:space="preserve"> </w:t>
      </w:r>
      <w:r w:rsidRPr="00F0151C">
        <w:rPr>
          <w:rFonts w:ascii="Arial" w:hAnsi="Arial" w:cs="Arial"/>
          <w:color w:val="auto"/>
          <w:spacing w:val="-2"/>
        </w:rPr>
        <w:t>do jazd lokalnych</w:t>
      </w:r>
      <w:r w:rsidRPr="00F0151C">
        <w:rPr>
          <w:rFonts w:ascii="Arial" w:hAnsi="Arial" w:cs="Arial"/>
          <w:i/>
          <w:iCs/>
          <w:color w:val="auto"/>
          <w:spacing w:val="-2"/>
        </w:rPr>
        <w:t xml:space="preserve"> </w:t>
      </w:r>
      <w:r w:rsidRPr="00F0151C">
        <w:rPr>
          <w:rStyle w:val="Uwydatnienie"/>
          <w:rFonts w:ascii="Arial" w:hAnsi="Arial" w:cs="Arial"/>
          <w:i w:val="0"/>
          <w:iCs w:val="0"/>
          <w:color w:val="auto"/>
          <w:spacing w:val="-2"/>
        </w:rPr>
        <w:t>samochodów osobowych</w:t>
      </w:r>
      <w:r w:rsidRPr="00F0151C">
        <w:rPr>
          <w:rFonts w:ascii="Arial" w:hAnsi="Arial" w:cs="Arial"/>
          <w:color w:val="auto"/>
          <w:spacing w:val="-2"/>
        </w:rPr>
        <w:t xml:space="preserve"> niebędących własnością pracodawcy następuje na podstawie umowy cywilnoprawnej, zawartej między pracodawcą a pracownikiem. </w:t>
      </w:r>
      <w:r w:rsidRPr="00F0151C">
        <w:rPr>
          <w:rFonts w:ascii="Arial" w:eastAsia="Times New Roman" w:hAnsi="Arial" w:cs="Arial"/>
          <w:color w:val="auto"/>
          <w:spacing w:val="-2"/>
        </w:rPr>
        <w:t>Na 20</w:t>
      </w:r>
      <w:r w:rsidR="00DC1ED6" w:rsidRPr="00F0151C">
        <w:rPr>
          <w:rFonts w:ascii="Arial" w:eastAsia="Times New Roman" w:hAnsi="Arial" w:cs="Arial"/>
          <w:color w:val="auto"/>
          <w:spacing w:val="-2"/>
        </w:rPr>
        <w:t>22</w:t>
      </w:r>
      <w:r w:rsidRPr="00F0151C">
        <w:rPr>
          <w:rFonts w:ascii="Arial" w:eastAsia="Times New Roman" w:hAnsi="Arial" w:cs="Arial"/>
          <w:color w:val="auto"/>
          <w:spacing w:val="-2"/>
        </w:rPr>
        <w:t xml:space="preserve"> rok, umowy w sprawie używania samochodu osobowego, niebędącego własnością pracodawcy, do celów służbowych zawarto z 1</w:t>
      </w:r>
      <w:r w:rsidR="00274A4A" w:rsidRPr="00F0151C">
        <w:rPr>
          <w:rFonts w:ascii="Arial" w:eastAsia="Times New Roman" w:hAnsi="Arial" w:cs="Arial"/>
          <w:color w:val="auto"/>
          <w:spacing w:val="-2"/>
        </w:rPr>
        <w:t>0</w:t>
      </w:r>
      <w:r w:rsidRPr="00F0151C">
        <w:rPr>
          <w:rFonts w:ascii="Arial" w:eastAsia="Times New Roman" w:hAnsi="Arial" w:cs="Arial"/>
          <w:color w:val="auto"/>
          <w:spacing w:val="-2"/>
        </w:rPr>
        <w:t>-</w:t>
      </w:r>
      <w:r w:rsidR="00274A4A" w:rsidRPr="00F0151C">
        <w:rPr>
          <w:rFonts w:ascii="Arial" w:eastAsia="Times New Roman" w:hAnsi="Arial" w:cs="Arial"/>
          <w:color w:val="auto"/>
          <w:spacing w:val="-2"/>
        </w:rPr>
        <w:t>ci</w:t>
      </w:r>
      <w:r w:rsidRPr="00F0151C">
        <w:rPr>
          <w:rFonts w:ascii="Arial" w:eastAsia="Times New Roman" w:hAnsi="Arial" w:cs="Arial"/>
          <w:color w:val="auto"/>
          <w:spacing w:val="-2"/>
        </w:rPr>
        <w:t xml:space="preserve">oma pracownikami, z ilością kilometrów od </w:t>
      </w:r>
      <w:r w:rsidR="006162F8" w:rsidRPr="00F0151C">
        <w:rPr>
          <w:rFonts w:ascii="Arial" w:eastAsia="Times New Roman" w:hAnsi="Arial" w:cs="Arial"/>
          <w:color w:val="auto"/>
          <w:spacing w:val="-2"/>
        </w:rPr>
        <w:t>10</w:t>
      </w:r>
      <w:r w:rsidRPr="00F0151C">
        <w:rPr>
          <w:rFonts w:ascii="Arial" w:eastAsia="Times New Roman" w:hAnsi="Arial" w:cs="Arial"/>
          <w:color w:val="auto"/>
          <w:spacing w:val="-2"/>
        </w:rPr>
        <w:t xml:space="preserve">0 do </w:t>
      </w:r>
      <w:r w:rsidR="006162F8" w:rsidRPr="00F0151C">
        <w:rPr>
          <w:rFonts w:ascii="Arial" w:eastAsia="Times New Roman" w:hAnsi="Arial" w:cs="Arial"/>
          <w:color w:val="auto"/>
          <w:spacing w:val="-2"/>
        </w:rPr>
        <w:t>35</w:t>
      </w:r>
      <w:r w:rsidRPr="00F0151C">
        <w:rPr>
          <w:rFonts w:ascii="Arial" w:eastAsia="Times New Roman" w:hAnsi="Arial" w:cs="Arial"/>
          <w:color w:val="auto"/>
          <w:spacing w:val="-2"/>
        </w:rPr>
        <w:t>0 miesięcznie. W 20</w:t>
      </w:r>
      <w:r w:rsidR="00DC1ED6" w:rsidRPr="00F0151C">
        <w:rPr>
          <w:rFonts w:ascii="Arial" w:eastAsia="Times New Roman" w:hAnsi="Arial" w:cs="Arial"/>
          <w:color w:val="auto"/>
          <w:spacing w:val="-2"/>
        </w:rPr>
        <w:t>22</w:t>
      </w:r>
      <w:r w:rsidRPr="00F0151C">
        <w:rPr>
          <w:rFonts w:ascii="Arial" w:eastAsia="Times New Roman" w:hAnsi="Arial" w:cs="Arial"/>
          <w:color w:val="auto"/>
          <w:spacing w:val="-2"/>
        </w:rPr>
        <w:t xml:space="preserve"> r</w:t>
      </w:r>
      <w:r w:rsidR="007C44A4" w:rsidRPr="00F0151C">
        <w:rPr>
          <w:rFonts w:ascii="Arial" w:eastAsia="Times New Roman" w:hAnsi="Arial" w:cs="Arial"/>
          <w:color w:val="auto"/>
          <w:spacing w:val="-2"/>
        </w:rPr>
        <w:t>.</w:t>
      </w:r>
      <w:r w:rsidRPr="00F0151C">
        <w:rPr>
          <w:rFonts w:ascii="Arial" w:eastAsia="Times New Roman" w:hAnsi="Arial" w:cs="Arial"/>
          <w:color w:val="auto"/>
          <w:spacing w:val="-2"/>
        </w:rPr>
        <w:t xml:space="preserve"> zgodnie z </w:t>
      </w:r>
      <w:r w:rsidRPr="00F0151C">
        <w:rPr>
          <w:rFonts w:ascii="Arial" w:hAnsi="Arial" w:cs="Arial"/>
          <w:color w:val="auto"/>
          <w:spacing w:val="-2"/>
        </w:rPr>
        <w:t>§</w:t>
      </w:r>
      <w:r w:rsidRPr="00F0151C">
        <w:rPr>
          <w:rFonts w:ascii="Arial" w:eastAsia="Times New Roman" w:hAnsi="Arial" w:cs="Arial"/>
          <w:color w:val="auto"/>
          <w:spacing w:val="-2"/>
        </w:rPr>
        <w:t xml:space="preserve"> 4410</w:t>
      </w:r>
      <w:r w:rsidRPr="00F0151C">
        <w:rPr>
          <w:rFonts w:ascii="Arial" w:hAnsi="Arial" w:cs="Arial"/>
          <w:color w:val="auto"/>
          <w:spacing w:val="-2"/>
        </w:rPr>
        <w:t xml:space="preserve"> koszty na podróże służbowe krajowe pracowników stanowiły kwotę </w:t>
      </w:r>
      <w:r w:rsidR="00800119" w:rsidRPr="00F0151C">
        <w:rPr>
          <w:rFonts w:ascii="Arial" w:hAnsi="Arial" w:cs="Arial"/>
          <w:color w:val="auto"/>
          <w:spacing w:val="-2"/>
        </w:rPr>
        <w:t>6 589,12</w:t>
      </w:r>
      <w:r w:rsidRPr="00F0151C">
        <w:rPr>
          <w:rFonts w:ascii="Arial" w:hAnsi="Arial" w:cs="Arial"/>
          <w:color w:val="auto"/>
          <w:spacing w:val="-2"/>
        </w:rPr>
        <w:t xml:space="preserve"> zł</w:t>
      </w:r>
      <w:r w:rsidR="00D64481" w:rsidRPr="00F0151C">
        <w:rPr>
          <w:rFonts w:ascii="Arial" w:hAnsi="Arial" w:cs="Arial"/>
          <w:color w:val="auto"/>
          <w:spacing w:val="-2"/>
        </w:rPr>
        <w:t xml:space="preserve">. </w:t>
      </w:r>
      <w:bookmarkStart w:id="30" w:name="_Hlk147310292"/>
      <w:r w:rsidRPr="00F0151C">
        <w:rPr>
          <w:rFonts w:ascii="Arial" w:eastAsia="Times New Roman" w:hAnsi="Arial" w:cs="Arial"/>
          <w:color w:val="auto"/>
          <w:spacing w:val="-2"/>
        </w:rPr>
        <w:t xml:space="preserve">Podstawą rozliczenia kosztów używania pojazdów są karty ewidencji przebiegu pojazdów, które zgodnie z załącznikiem nr 1 do Instrukcji obiegu dokumentów należy składać w Dziale Pracowniczo-Administracyjnym </w:t>
      </w:r>
      <w:r w:rsidRPr="00F0151C">
        <w:rPr>
          <w:rFonts w:ascii="Arial" w:eastAsia="Times New Roman" w:hAnsi="Arial" w:cs="Arial"/>
          <w:color w:val="auto"/>
          <w:spacing w:val="-2"/>
          <w:u w:val="single"/>
        </w:rPr>
        <w:t>w terminie do 20-tego każdego miesiąca za miesiąc poprzedni</w:t>
      </w:r>
      <w:r w:rsidRPr="00F0151C">
        <w:rPr>
          <w:rFonts w:ascii="Arial" w:eastAsia="Times New Roman" w:hAnsi="Arial" w:cs="Arial"/>
          <w:color w:val="auto"/>
          <w:spacing w:val="-2"/>
        </w:rPr>
        <w:t xml:space="preserve">. Zauważa się niespójność powyższego zapisu z postanowieniami umów, gdzie w § 1 wskazano, iż pracownik dokonuje rozliczenia kosztów nie później niż </w:t>
      </w:r>
      <w:r w:rsidRPr="00F0151C">
        <w:rPr>
          <w:rFonts w:ascii="Arial" w:eastAsia="Times New Roman" w:hAnsi="Arial" w:cs="Arial"/>
          <w:color w:val="auto"/>
          <w:spacing w:val="-2"/>
          <w:u w:val="single"/>
        </w:rPr>
        <w:t xml:space="preserve">w terminie </w:t>
      </w:r>
      <w:r w:rsidR="00AC0867" w:rsidRPr="00F0151C">
        <w:rPr>
          <w:rFonts w:ascii="Arial" w:eastAsia="Times New Roman" w:hAnsi="Arial" w:cs="Arial"/>
          <w:color w:val="auto"/>
          <w:spacing w:val="-2"/>
          <w:u w:val="single"/>
        </w:rPr>
        <w:t>5</w:t>
      </w:r>
      <w:r w:rsidRPr="00F0151C">
        <w:rPr>
          <w:rFonts w:ascii="Arial" w:eastAsia="Times New Roman" w:hAnsi="Arial" w:cs="Arial"/>
          <w:color w:val="auto"/>
          <w:spacing w:val="-2"/>
          <w:u w:val="single"/>
        </w:rPr>
        <w:t xml:space="preserve"> dni licząc od zakończenia danego miesiąca</w:t>
      </w:r>
      <w:r w:rsidR="00D64481" w:rsidRPr="00F0151C">
        <w:rPr>
          <w:rFonts w:ascii="Arial" w:eastAsia="Times New Roman" w:hAnsi="Arial" w:cs="Arial"/>
          <w:color w:val="auto"/>
          <w:spacing w:val="-2"/>
          <w:u w:val="single"/>
        </w:rPr>
        <w:t xml:space="preserve">, </w:t>
      </w:r>
      <w:r w:rsidR="00D64481" w:rsidRPr="00F0151C">
        <w:rPr>
          <w:rFonts w:ascii="Arial" w:eastAsia="Times New Roman" w:hAnsi="Arial" w:cs="Arial"/>
          <w:b/>
          <w:bCs/>
          <w:color w:val="auto"/>
          <w:spacing w:val="-2"/>
        </w:rPr>
        <w:t>co stanowiło wniosek pokontrolny w poprzedniej kontroli</w:t>
      </w:r>
      <w:r w:rsidRPr="00F0151C">
        <w:rPr>
          <w:rFonts w:ascii="Arial" w:eastAsia="Times New Roman" w:hAnsi="Arial" w:cs="Arial"/>
          <w:b/>
          <w:bCs/>
          <w:color w:val="auto"/>
          <w:spacing w:val="-2"/>
        </w:rPr>
        <w:t>.</w:t>
      </w:r>
      <w:r w:rsidRPr="00F0151C">
        <w:rPr>
          <w:rFonts w:ascii="Arial" w:eastAsia="Times New Roman" w:hAnsi="Arial" w:cs="Arial"/>
          <w:color w:val="auto"/>
          <w:spacing w:val="-2"/>
        </w:rPr>
        <w:t xml:space="preserve"> </w:t>
      </w:r>
      <w:bookmarkEnd w:id="30"/>
      <w:r w:rsidR="00D47089" w:rsidRPr="00F0151C">
        <w:rPr>
          <w:rFonts w:ascii="Arial" w:eastAsia="Times New Roman" w:hAnsi="Arial" w:cs="Arial"/>
          <w:color w:val="auto"/>
          <w:spacing w:val="-2"/>
        </w:rPr>
        <w:t xml:space="preserve">Rozliczenie kilometrów powinno być dokonywane na podstawie strony internetowej „Google </w:t>
      </w:r>
      <w:proofErr w:type="spellStart"/>
      <w:r w:rsidR="00D47089" w:rsidRPr="00F0151C">
        <w:rPr>
          <w:rFonts w:ascii="Arial" w:eastAsia="Times New Roman" w:hAnsi="Arial" w:cs="Arial"/>
          <w:color w:val="auto"/>
          <w:spacing w:val="-2"/>
        </w:rPr>
        <w:t>Maps</w:t>
      </w:r>
      <w:proofErr w:type="spellEnd"/>
      <w:r w:rsidR="00D47089" w:rsidRPr="00F0151C">
        <w:rPr>
          <w:rFonts w:ascii="Arial" w:eastAsia="Times New Roman" w:hAnsi="Arial" w:cs="Arial"/>
          <w:color w:val="auto"/>
          <w:spacing w:val="-2"/>
        </w:rPr>
        <w:t xml:space="preserve">” dotyczącej przebiegu trasy i ilości przejechanych kilometrów, a wybrana trasa powinna być najkrótszą trasą, która została zaznaczona na stronie w/w „Google </w:t>
      </w:r>
      <w:proofErr w:type="spellStart"/>
      <w:r w:rsidR="00D47089" w:rsidRPr="00F0151C">
        <w:rPr>
          <w:rFonts w:ascii="Arial" w:eastAsia="Times New Roman" w:hAnsi="Arial" w:cs="Arial"/>
          <w:color w:val="auto"/>
          <w:spacing w:val="-2"/>
        </w:rPr>
        <w:t>Maps</w:t>
      </w:r>
      <w:proofErr w:type="spellEnd"/>
      <w:r w:rsidR="00D47089" w:rsidRPr="00F0151C">
        <w:rPr>
          <w:rFonts w:ascii="Arial" w:eastAsia="Times New Roman" w:hAnsi="Arial" w:cs="Arial"/>
          <w:color w:val="auto"/>
          <w:spacing w:val="-2"/>
        </w:rPr>
        <w:t xml:space="preserve">”. </w:t>
      </w:r>
      <w:r w:rsidRPr="00F0151C">
        <w:rPr>
          <w:rFonts w:ascii="Arial" w:eastAsia="Times New Roman" w:hAnsi="Arial" w:cs="Arial"/>
          <w:color w:val="auto"/>
          <w:spacing w:val="-2"/>
        </w:rPr>
        <w:t xml:space="preserve">Zwrot kosztów następuje po przedłożeniu przez pracownika pisemnego oświadczenia o używaniu przez niego samochodu do celów służbowych wraz z ewidencją przebiegu pojazdu za dany miesiąc. Na </w:t>
      </w:r>
      <w:r w:rsidRPr="00F0151C">
        <w:rPr>
          <w:rFonts w:ascii="Arial" w:eastAsia="Times New Roman" w:hAnsi="Arial" w:cs="Arial"/>
          <w:color w:val="auto"/>
          <w:spacing w:val="-2"/>
        </w:rPr>
        <w:lastRenderedPageBreak/>
        <w:t xml:space="preserve">oświadczeniach pracowników i kartach ewidencji przebiegu pojazdów nie odnotowano daty ich złożenia. </w:t>
      </w:r>
      <w:r w:rsidR="00974B60" w:rsidRPr="00F0151C">
        <w:rPr>
          <w:rFonts w:ascii="Arial" w:eastAsia="Times New Roman" w:hAnsi="Arial" w:cs="Arial"/>
          <w:color w:val="auto"/>
          <w:spacing w:val="-2"/>
        </w:rPr>
        <w:t>Wyrywkowa w</w:t>
      </w:r>
      <w:r w:rsidRPr="00F0151C">
        <w:rPr>
          <w:rFonts w:ascii="Arial" w:eastAsia="Times New Roman" w:hAnsi="Arial" w:cs="Arial"/>
          <w:color w:val="auto"/>
          <w:spacing w:val="-2"/>
        </w:rPr>
        <w:t xml:space="preserve">eryfikacja kart ewidencji przebiegu pojazdu </w:t>
      </w:r>
      <w:r w:rsidR="00D47089" w:rsidRPr="00F0151C">
        <w:rPr>
          <w:rFonts w:ascii="Arial" w:eastAsia="Times New Roman" w:hAnsi="Arial" w:cs="Arial"/>
          <w:color w:val="auto"/>
          <w:spacing w:val="-2"/>
        </w:rPr>
        <w:t xml:space="preserve">nie </w:t>
      </w:r>
      <w:r w:rsidRPr="00F0151C">
        <w:rPr>
          <w:rFonts w:ascii="Arial" w:eastAsia="Times New Roman" w:hAnsi="Arial" w:cs="Arial"/>
          <w:color w:val="auto"/>
          <w:spacing w:val="-2"/>
        </w:rPr>
        <w:t>wykazała</w:t>
      </w:r>
      <w:r w:rsidR="00D47089" w:rsidRPr="00F0151C">
        <w:rPr>
          <w:rFonts w:ascii="Arial" w:eastAsia="Times New Roman" w:hAnsi="Arial" w:cs="Arial"/>
          <w:color w:val="auto"/>
          <w:spacing w:val="-2"/>
        </w:rPr>
        <w:t xml:space="preserve"> nieprawidłowości.</w:t>
      </w:r>
      <w:r w:rsidR="00D47089" w:rsidRPr="00F0151C">
        <w:rPr>
          <w:rFonts w:ascii="Arial" w:eastAsia="Times New Roman" w:hAnsi="Arial" w:cs="Arial"/>
          <w:b/>
          <w:bCs/>
          <w:color w:val="auto"/>
          <w:spacing w:val="-2"/>
        </w:rPr>
        <w:t xml:space="preserve"> </w:t>
      </w:r>
    </w:p>
    <w:p w14:paraId="016615CF" w14:textId="5BFDBFD4" w:rsidR="00375221" w:rsidRDefault="00D64481" w:rsidP="00BE4A02">
      <w:pPr>
        <w:spacing w:after="0" w:line="360" w:lineRule="auto"/>
        <w:jc w:val="both"/>
        <w:rPr>
          <w:rFonts w:ascii="Arial" w:eastAsia="Times New Roman" w:hAnsi="Arial" w:cs="Arial"/>
          <w:bCs/>
          <w:color w:val="auto"/>
          <w:spacing w:val="-2"/>
        </w:rPr>
      </w:pPr>
      <w:r w:rsidRPr="00F0151C">
        <w:rPr>
          <w:rFonts w:ascii="Arial" w:eastAsia="Times New Roman" w:hAnsi="Arial" w:cs="Arial"/>
          <w:bCs/>
          <w:color w:val="auto"/>
          <w:spacing w:val="-2"/>
        </w:rPr>
        <w:tab/>
        <w:t>W zakresie przedłożonych do kontroli Poleceń p</w:t>
      </w:r>
      <w:r w:rsidR="00C82C19" w:rsidRPr="00F0151C">
        <w:rPr>
          <w:rFonts w:ascii="Arial" w:eastAsia="Times New Roman" w:hAnsi="Arial" w:cs="Arial"/>
          <w:bCs/>
          <w:color w:val="auto"/>
          <w:spacing w:val="-2"/>
        </w:rPr>
        <w:t>odróż</w:t>
      </w:r>
      <w:r w:rsidRPr="00F0151C">
        <w:rPr>
          <w:rFonts w:ascii="Arial" w:eastAsia="Times New Roman" w:hAnsi="Arial" w:cs="Arial"/>
          <w:bCs/>
          <w:color w:val="auto"/>
          <w:spacing w:val="-2"/>
        </w:rPr>
        <w:t>y</w:t>
      </w:r>
      <w:r w:rsidR="00C82C19" w:rsidRPr="00F0151C">
        <w:rPr>
          <w:rFonts w:ascii="Arial" w:eastAsia="Times New Roman" w:hAnsi="Arial" w:cs="Arial"/>
          <w:bCs/>
          <w:color w:val="auto"/>
          <w:spacing w:val="-2"/>
        </w:rPr>
        <w:t xml:space="preserve"> służbow</w:t>
      </w:r>
      <w:r w:rsidRPr="00F0151C">
        <w:rPr>
          <w:rFonts w:ascii="Arial" w:eastAsia="Times New Roman" w:hAnsi="Arial" w:cs="Arial"/>
          <w:bCs/>
          <w:color w:val="auto"/>
          <w:spacing w:val="-2"/>
        </w:rPr>
        <w:t>ych – „delegacji pracowników”</w:t>
      </w:r>
      <w:r w:rsidR="00C82C19" w:rsidRPr="00F0151C">
        <w:rPr>
          <w:rFonts w:ascii="Arial" w:eastAsia="Times New Roman" w:hAnsi="Arial" w:cs="Arial"/>
          <w:bCs/>
          <w:color w:val="auto"/>
          <w:spacing w:val="-2"/>
        </w:rPr>
        <w:t xml:space="preserve"> </w:t>
      </w:r>
      <w:r w:rsidRPr="00F0151C">
        <w:rPr>
          <w:rFonts w:ascii="Arial" w:eastAsia="Times New Roman" w:hAnsi="Arial" w:cs="Arial"/>
          <w:bCs/>
          <w:color w:val="auto"/>
          <w:spacing w:val="-2"/>
        </w:rPr>
        <w:t xml:space="preserve">nie stwierdzono nieprawidłowości w zakresie </w:t>
      </w:r>
      <w:r w:rsidR="003B05C2" w:rsidRPr="00F0151C">
        <w:rPr>
          <w:rFonts w:ascii="Arial" w:eastAsia="Times New Roman" w:hAnsi="Arial" w:cs="Arial"/>
          <w:bCs/>
          <w:color w:val="auto"/>
          <w:spacing w:val="-2"/>
        </w:rPr>
        <w:t xml:space="preserve">ich </w:t>
      </w:r>
      <w:r w:rsidRPr="00F0151C">
        <w:rPr>
          <w:rFonts w:ascii="Arial" w:eastAsia="Times New Roman" w:hAnsi="Arial" w:cs="Arial"/>
          <w:bCs/>
          <w:color w:val="auto"/>
          <w:spacing w:val="-2"/>
        </w:rPr>
        <w:t>rozliczenia</w:t>
      </w:r>
      <w:r w:rsidR="003B05C2" w:rsidRPr="00F0151C">
        <w:rPr>
          <w:rFonts w:ascii="Arial" w:eastAsia="Times New Roman" w:hAnsi="Arial" w:cs="Arial"/>
          <w:bCs/>
          <w:color w:val="auto"/>
          <w:spacing w:val="-2"/>
        </w:rPr>
        <w:t>.</w:t>
      </w:r>
      <w:bookmarkEnd w:id="20"/>
    </w:p>
    <w:p w14:paraId="3563DA2C" w14:textId="77777777" w:rsidR="004F74DE" w:rsidRPr="00F0151C" w:rsidRDefault="004F74DE" w:rsidP="00BE4A02">
      <w:pPr>
        <w:spacing w:after="0" w:line="360" w:lineRule="auto"/>
        <w:jc w:val="both"/>
        <w:rPr>
          <w:rFonts w:ascii="Arial" w:eastAsia="Times New Roman" w:hAnsi="Arial" w:cs="Arial"/>
          <w:bCs/>
          <w:color w:val="auto"/>
          <w:spacing w:val="-2"/>
        </w:rPr>
      </w:pPr>
    </w:p>
    <w:p w14:paraId="43D18B31" w14:textId="01833875" w:rsidR="005D1CB8" w:rsidRPr="00F0151C" w:rsidRDefault="005D1CB8" w:rsidP="00285E7D">
      <w:pPr>
        <w:pStyle w:val="Akapitzlist"/>
        <w:numPr>
          <w:ilvl w:val="2"/>
          <w:numId w:val="27"/>
        </w:numPr>
        <w:tabs>
          <w:tab w:val="left" w:pos="-8505"/>
          <w:tab w:val="left" w:pos="-2127"/>
        </w:tabs>
        <w:ind w:left="0" w:firstLine="0"/>
        <w:rPr>
          <w:rFonts w:ascii="Arial" w:hAnsi="Arial" w:cs="Arial"/>
          <w:color w:val="auto"/>
          <w:sz w:val="22"/>
          <w:szCs w:val="22"/>
          <w:lang w:val="pl-PL"/>
        </w:rPr>
      </w:pPr>
      <w:r w:rsidRPr="00F0151C">
        <w:rPr>
          <w:rFonts w:ascii="Arial" w:hAnsi="Arial" w:cs="Arial"/>
          <w:b/>
          <w:color w:val="auto"/>
          <w:kern w:val="2"/>
          <w:sz w:val="22"/>
          <w:szCs w:val="22"/>
          <w:lang w:val="pl-PL"/>
          <w14:ligatures w14:val="standardContextual"/>
        </w:rPr>
        <w:t>Weryfikacja wypłaconych nagród jubileuszowych, ekwiwalentów za niewykorzystany urlop i dodatkowego wynagrodzenia rocznego</w:t>
      </w:r>
      <w:bookmarkStart w:id="31" w:name="_Hlk81480750"/>
    </w:p>
    <w:bookmarkEnd w:id="31"/>
    <w:p w14:paraId="58D5B3C9" w14:textId="14C3362E" w:rsidR="005D1CB8" w:rsidRPr="00F0151C" w:rsidRDefault="005D1CB8" w:rsidP="005D1CB8">
      <w:pPr>
        <w:widowControl w:val="0"/>
        <w:tabs>
          <w:tab w:val="left" w:pos="-8505"/>
          <w:tab w:val="left" w:pos="-2127"/>
          <w:tab w:val="left" w:pos="426"/>
        </w:tabs>
        <w:suppressAutoHyphens/>
        <w:spacing w:after="0" w:line="360" w:lineRule="auto"/>
        <w:ind w:firstLine="709"/>
        <w:contextualSpacing/>
        <w:jc w:val="both"/>
        <w:textAlignment w:val="baseline"/>
        <w:rPr>
          <w:rFonts w:ascii="Arial" w:eastAsia="Andale Sans UI" w:hAnsi="Arial" w:cs="Arial"/>
          <w:color w:val="auto"/>
          <w:lang w:eastAsia="ja-JP" w:bidi="fa-IR"/>
        </w:rPr>
      </w:pPr>
      <w:r w:rsidRPr="00F0151C">
        <w:rPr>
          <w:rFonts w:ascii="Arial" w:eastAsia="Andale Sans UI" w:hAnsi="Arial" w:cs="Arial"/>
          <w:color w:val="auto"/>
          <w:lang w:eastAsia="ja-JP" w:bidi="fa-IR"/>
        </w:rPr>
        <w:t>W ramach wydatków osobowych poniesionych w 2022 r. weryfikacji poddano ustalenie wysokości i terminy wypłat:</w:t>
      </w:r>
    </w:p>
    <w:p w14:paraId="195F0FD2" w14:textId="77777777" w:rsidR="005D1CB8" w:rsidRPr="00F0151C" w:rsidRDefault="005D1CB8" w:rsidP="00384BC5">
      <w:pPr>
        <w:widowControl w:val="0"/>
        <w:numPr>
          <w:ilvl w:val="0"/>
          <w:numId w:val="21"/>
        </w:numPr>
        <w:tabs>
          <w:tab w:val="left" w:pos="-8505"/>
          <w:tab w:val="left" w:pos="-2127"/>
          <w:tab w:val="left" w:pos="426"/>
        </w:tabs>
        <w:suppressAutoHyphens/>
        <w:overflowPunct/>
        <w:spacing w:after="0" w:line="360" w:lineRule="auto"/>
        <w:contextualSpacing/>
        <w:jc w:val="both"/>
        <w:textAlignment w:val="baseline"/>
        <w:rPr>
          <w:rFonts w:ascii="Arial" w:eastAsia="Andale Sans UI" w:hAnsi="Arial" w:cs="Arial"/>
          <w:color w:val="auto"/>
          <w:lang w:eastAsia="ja-JP" w:bidi="fa-IR"/>
        </w:rPr>
      </w:pPr>
      <w:r w:rsidRPr="00F0151C">
        <w:rPr>
          <w:rFonts w:ascii="Arial" w:eastAsia="Andale Sans UI" w:hAnsi="Arial" w:cs="Arial"/>
          <w:color w:val="auto"/>
          <w:lang w:eastAsia="ja-JP" w:bidi="fa-IR"/>
        </w:rPr>
        <w:t>nagród jubileuszowych dla 14 pracowników na łączną kwotę 151 663,06 zł,</w:t>
      </w:r>
    </w:p>
    <w:p w14:paraId="6EEEB10B" w14:textId="77777777" w:rsidR="005D1CB8" w:rsidRPr="00F0151C" w:rsidRDefault="005D1CB8" w:rsidP="00384BC5">
      <w:pPr>
        <w:widowControl w:val="0"/>
        <w:numPr>
          <w:ilvl w:val="0"/>
          <w:numId w:val="21"/>
        </w:numPr>
        <w:tabs>
          <w:tab w:val="left" w:pos="-8505"/>
          <w:tab w:val="left" w:pos="-2127"/>
          <w:tab w:val="left" w:pos="426"/>
        </w:tabs>
        <w:suppressAutoHyphens/>
        <w:overflowPunct/>
        <w:spacing w:after="0" w:line="360" w:lineRule="auto"/>
        <w:contextualSpacing/>
        <w:jc w:val="both"/>
        <w:textAlignment w:val="baseline"/>
        <w:rPr>
          <w:rFonts w:ascii="Arial" w:eastAsia="Andale Sans UI" w:hAnsi="Arial" w:cs="Arial"/>
          <w:color w:val="auto"/>
          <w:lang w:eastAsia="ja-JP" w:bidi="fa-IR"/>
        </w:rPr>
      </w:pPr>
      <w:r w:rsidRPr="00F0151C">
        <w:rPr>
          <w:rFonts w:ascii="Arial" w:eastAsia="Andale Sans UI" w:hAnsi="Arial" w:cs="Arial"/>
          <w:color w:val="auto"/>
          <w:lang w:eastAsia="ja-JP" w:bidi="fa-IR"/>
        </w:rPr>
        <w:t>odpraw emerytalnych dla 4 pracowników na łączną kwotę 136 111,98  zł,</w:t>
      </w:r>
    </w:p>
    <w:p w14:paraId="560AF752" w14:textId="10BCE0F3" w:rsidR="005D1CB8" w:rsidRPr="00F0151C" w:rsidRDefault="005D1CB8" w:rsidP="00384BC5">
      <w:pPr>
        <w:widowControl w:val="0"/>
        <w:numPr>
          <w:ilvl w:val="0"/>
          <w:numId w:val="21"/>
        </w:numPr>
        <w:tabs>
          <w:tab w:val="left" w:pos="-8505"/>
          <w:tab w:val="left" w:pos="-2127"/>
          <w:tab w:val="left" w:pos="426"/>
        </w:tabs>
        <w:suppressAutoHyphens/>
        <w:overflowPunct/>
        <w:spacing w:after="0" w:line="360" w:lineRule="auto"/>
        <w:contextualSpacing/>
        <w:jc w:val="both"/>
        <w:textAlignment w:val="baseline"/>
        <w:rPr>
          <w:rFonts w:ascii="Arial" w:eastAsia="Andale Sans UI" w:hAnsi="Arial" w:cs="Arial"/>
          <w:color w:val="auto"/>
          <w:lang w:eastAsia="ja-JP" w:bidi="fa-IR"/>
        </w:rPr>
      </w:pPr>
      <w:r w:rsidRPr="00F0151C">
        <w:rPr>
          <w:rFonts w:ascii="Arial" w:eastAsia="Andale Sans UI" w:hAnsi="Arial" w:cs="Arial"/>
          <w:color w:val="auto"/>
          <w:lang w:eastAsia="ja-JP" w:bidi="fa-IR"/>
        </w:rPr>
        <w:t>ekwiwalentów za niewykorzystany urlop wypoczynkowy dla 5 pracowników na łączną kwotę 10 032,93 zł</w:t>
      </w:r>
      <w:r w:rsidR="00F71C3F" w:rsidRPr="00F0151C">
        <w:rPr>
          <w:rFonts w:ascii="Arial" w:eastAsia="Andale Sans UI" w:hAnsi="Arial" w:cs="Arial"/>
          <w:color w:val="auto"/>
          <w:lang w:eastAsia="ja-JP" w:bidi="fa-IR"/>
        </w:rPr>
        <w:t>,</w:t>
      </w:r>
    </w:p>
    <w:p w14:paraId="7E5F6B3C" w14:textId="15223522" w:rsidR="00F71C3F" w:rsidRPr="00F0151C" w:rsidRDefault="00F71C3F" w:rsidP="00384BC5">
      <w:pPr>
        <w:widowControl w:val="0"/>
        <w:numPr>
          <w:ilvl w:val="0"/>
          <w:numId w:val="21"/>
        </w:numPr>
        <w:tabs>
          <w:tab w:val="left" w:pos="-8505"/>
          <w:tab w:val="left" w:pos="-2127"/>
          <w:tab w:val="left" w:pos="426"/>
        </w:tabs>
        <w:suppressAutoHyphens/>
        <w:overflowPunct/>
        <w:spacing w:after="0" w:line="360" w:lineRule="auto"/>
        <w:contextualSpacing/>
        <w:jc w:val="both"/>
        <w:textAlignment w:val="baseline"/>
        <w:rPr>
          <w:rFonts w:ascii="Arial" w:eastAsia="Andale Sans UI" w:hAnsi="Arial" w:cs="Arial"/>
          <w:color w:val="auto"/>
          <w:lang w:eastAsia="ja-JP" w:bidi="fa-IR"/>
        </w:rPr>
      </w:pPr>
      <w:r w:rsidRPr="00F0151C">
        <w:rPr>
          <w:rFonts w:ascii="Arial" w:eastAsia="Andale Sans UI" w:hAnsi="Arial" w:cs="Arial"/>
          <w:color w:val="auto"/>
          <w:lang w:eastAsia="ja-JP" w:bidi="fa-IR"/>
        </w:rPr>
        <w:t xml:space="preserve">dodatkowego wynagrodzenia rocznego dla 15 pracowników ROM IV na łączną kwotę </w:t>
      </w:r>
      <w:r w:rsidR="009D65E2" w:rsidRPr="00F0151C">
        <w:rPr>
          <w:rFonts w:ascii="Arial" w:eastAsia="Andale Sans UI" w:hAnsi="Arial" w:cs="Arial"/>
          <w:color w:val="auto"/>
          <w:lang w:eastAsia="ja-JP" w:bidi="fa-IR"/>
        </w:rPr>
        <w:t>65 641,31 zł.</w:t>
      </w:r>
    </w:p>
    <w:p w14:paraId="7DBED63C" w14:textId="41B51E71" w:rsidR="005D1CB8" w:rsidRPr="00F0151C" w:rsidRDefault="005D1CB8" w:rsidP="005D1CB8">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lang w:eastAsia="ja-JP" w:bidi="fa-IR"/>
        </w:rPr>
      </w:pPr>
      <w:r w:rsidRPr="00F0151C">
        <w:rPr>
          <w:rFonts w:ascii="Arial" w:eastAsia="Andale Sans UI" w:hAnsi="Arial" w:cs="Arial"/>
          <w:color w:val="auto"/>
          <w:lang w:eastAsia="ja-JP" w:bidi="fa-IR"/>
        </w:rPr>
        <w:tab/>
        <w:t>W wyniku przeprowadzonej kontroli akt osobowych wybranych pracowników stwierdzono, że prawidłowo ustalono liczbę dni niewykorzystanego urlopu wypoczynkowego u pracowników którym wypłacono ekwiwalent oraz prawidłowo ustalono terminy nabycia prawa do nagród jubileuszowy</w:t>
      </w:r>
      <w:r w:rsidR="00E00079" w:rsidRPr="00F0151C">
        <w:rPr>
          <w:rFonts w:ascii="Arial" w:eastAsia="Andale Sans UI" w:hAnsi="Arial" w:cs="Arial"/>
          <w:color w:val="auto"/>
          <w:lang w:eastAsia="ja-JP" w:bidi="fa-IR"/>
        </w:rPr>
        <w:t>ch</w:t>
      </w:r>
      <w:r w:rsidRPr="00F0151C">
        <w:rPr>
          <w:rFonts w:ascii="Arial" w:eastAsia="Andale Sans UI" w:hAnsi="Arial" w:cs="Arial"/>
          <w:color w:val="auto"/>
          <w:lang w:eastAsia="ja-JP" w:bidi="fa-IR"/>
        </w:rPr>
        <w:t>. Wątpliwość co do zasadności i gospodarności ponoszonych przez zakład wydatków budzą kwoty trzech z pięciu wypłaconych ekwiwalentów tj. na kwotę 5 552,41 zł za 210,08 godz. niewykorzystanego urlopu wypoczynkowego, na kwotę 2 174,64</w:t>
      </w:r>
      <w:r w:rsidR="007E03EF" w:rsidRPr="00F0151C">
        <w:rPr>
          <w:rFonts w:ascii="Arial" w:eastAsia="Andale Sans UI" w:hAnsi="Arial" w:cs="Arial"/>
          <w:color w:val="auto"/>
          <w:lang w:eastAsia="ja-JP" w:bidi="fa-IR"/>
        </w:rPr>
        <w:t> </w:t>
      </w:r>
      <w:r w:rsidRPr="00F0151C">
        <w:rPr>
          <w:rFonts w:ascii="Arial" w:eastAsia="Andale Sans UI" w:hAnsi="Arial" w:cs="Arial"/>
          <w:color w:val="auto"/>
          <w:lang w:eastAsia="ja-JP" w:bidi="fa-IR"/>
        </w:rPr>
        <w:t xml:space="preserve">zł za 78 godz. niewykorzystanego urlopu oraz na kwotę 2 182,02 zł za 82 godz. niewykorzystanego urlopu wypoczynkowego. </w:t>
      </w:r>
      <w:r w:rsidRPr="00F0151C">
        <w:rPr>
          <w:rFonts w:ascii="Arial" w:eastAsia="Andale Sans UI" w:hAnsi="Arial" w:cs="Arial"/>
          <w:b/>
          <w:bCs/>
          <w:color w:val="auto"/>
          <w:lang w:eastAsia="ja-JP" w:bidi="fa-IR"/>
        </w:rPr>
        <w:t>Podkreślić przy tym należy, że zgodnie z</w:t>
      </w:r>
      <w:r w:rsidR="007E03EF" w:rsidRPr="00F0151C">
        <w:rPr>
          <w:rFonts w:ascii="Arial" w:eastAsia="Andale Sans UI" w:hAnsi="Arial" w:cs="Arial"/>
          <w:b/>
          <w:bCs/>
          <w:color w:val="auto"/>
          <w:lang w:eastAsia="ja-JP" w:bidi="fa-IR"/>
        </w:rPr>
        <w:t> </w:t>
      </w:r>
      <w:r w:rsidRPr="00F0151C">
        <w:rPr>
          <w:rFonts w:ascii="Arial" w:eastAsia="Andale Sans UI" w:hAnsi="Arial" w:cs="Arial"/>
          <w:b/>
          <w:bCs/>
          <w:color w:val="auto"/>
          <w:lang w:eastAsia="ja-JP" w:bidi="fa-IR"/>
        </w:rPr>
        <w:t xml:space="preserve">art. 152 </w:t>
      </w:r>
      <w:proofErr w:type="spellStart"/>
      <w:r w:rsidRPr="00F0151C">
        <w:rPr>
          <w:rFonts w:ascii="Arial" w:eastAsia="Andale Sans UI" w:hAnsi="Arial" w:cs="Arial"/>
          <w:b/>
          <w:bCs/>
          <w:color w:val="auto"/>
          <w:lang w:eastAsia="ja-JP" w:bidi="fa-IR"/>
        </w:rPr>
        <w:t>k.p</w:t>
      </w:r>
      <w:proofErr w:type="spellEnd"/>
      <w:r w:rsidRPr="00F0151C">
        <w:rPr>
          <w:rFonts w:ascii="Arial" w:eastAsia="Andale Sans UI" w:hAnsi="Arial" w:cs="Arial"/>
          <w:b/>
          <w:bCs/>
          <w:color w:val="auto"/>
          <w:lang w:eastAsia="ja-JP" w:bidi="fa-IR"/>
        </w:rPr>
        <w:t xml:space="preserve">. pracownikowi przysługuje prawo do corocznego, nieprzerwanego, płatnego urlopu wypoczynkowego. </w:t>
      </w:r>
      <w:r w:rsidRPr="00F0151C">
        <w:rPr>
          <w:rFonts w:ascii="Arial" w:eastAsia="Andale Sans UI" w:hAnsi="Arial" w:cs="Arial"/>
          <w:bCs/>
          <w:color w:val="auto"/>
          <w:lang w:eastAsia="ja-JP" w:bidi="fa-IR"/>
        </w:rPr>
        <w:t xml:space="preserve">Natomiast pracodawca jest obowiązany udzielić pracownikowi urlopu w tym roku kalendarzowym, w którym pracownik uzyskał do niego prawo (art. 161 </w:t>
      </w:r>
      <w:proofErr w:type="spellStart"/>
      <w:r w:rsidRPr="00F0151C">
        <w:rPr>
          <w:rFonts w:ascii="Arial" w:eastAsia="Andale Sans UI" w:hAnsi="Arial" w:cs="Arial"/>
          <w:bCs/>
          <w:color w:val="auto"/>
          <w:lang w:eastAsia="ja-JP" w:bidi="fa-IR"/>
        </w:rPr>
        <w:t>k.p</w:t>
      </w:r>
      <w:proofErr w:type="spellEnd"/>
      <w:r w:rsidRPr="00F0151C">
        <w:rPr>
          <w:rFonts w:ascii="Arial" w:eastAsia="Andale Sans UI" w:hAnsi="Arial" w:cs="Arial"/>
          <w:bCs/>
          <w:color w:val="auto"/>
          <w:lang w:eastAsia="ja-JP" w:bidi="fa-IR"/>
        </w:rPr>
        <w:t>.). Zgodnie z</w:t>
      </w:r>
      <w:r w:rsidR="00D64481" w:rsidRPr="00F0151C">
        <w:rPr>
          <w:rFonts w:ascii="Arial" w:eastAsia="Andale Sans UI" w:hAnsi="Arial" w:cs="Arial"/>
          <w:bCs/>
          <w:color w:val="auto"/>
          <w:lang w:eastAsia="ja-JP" w:bidi="fa-IR"/>
        </w:rPr>
        <w:t> </w:t>
      </w:r>
      <w:r w:rsidRPr="00F0151C">
        <w:rPr>
          <w:rFonts w:ascii="Arial" w:eastAsia="Andale Sans UI" w:hAnsi="Arial" w:cs="Arial"/>
          <w:bCs/>
          <w:color w:val="auto"/>
          <w:lang w:eastAsia="ja-JP" w:bidi="fa-IR"/>
        </w:rPr>
        <w:t>art.  167</w:t>
      </w:r>
      <w:r w:rsidRPr="00F0151C">
        <w:rPr>
          <w:rFonts w:ascii="Arial" w:eastAsia="Andale Sans UI" w:hAnsi="Arial" w:cs="Arial"/>
          <w:bCs/>
          <w:color w:val="auto"/>
          <w:vertAlign w:val="superscript"/>
          <w:lang w:eastAsia="ja-JP" w:bidi="fa-IR"/>
        </w:rPr>
        <w:t>1</w:t>
      </w:r>
      <w:r w:rsidRPr="00F0151C">
        <w:rPr>
          <w:rFonts w:ascii="Arial" w:eastAsia="Andale Sans UI" w:hAnsi="Arial" w:cs="Arial"/>
          <w:bCs/>
          <w:color w:val="auto"/>
          <w:lang w:eastAsia="ja-JP" w:bidi="fa-IR"/>
        </w:rPr>
        <w:t xml:space="preserve"> </w:t>
      </w:r>
      <w:proofErr w:type="spellStart"/>
      <w:r w:rsidRPr="00F0151C">
        <w:rPr>
          <w:rFonts w:ascii="Arial" w:eastAsia="Andale Sans UI" w:hAnsi="Arial" w:cs="Arial"/>
          <w:bCs/>
          <w:color w:val="auto"/>
          <w:lang w:eastAsia="ja-JP" w:bidi="fa-IR"/>
        </w:rPr>
        <w:t>k.p</w:t>
      </w:r>
      <w:proofErr w:type="spellEnd"/>
      <w:r w:rsidRPr="00F0151C">
        <w:rPr>
          <w:rFonts w:ascii="Arial" w:eastAsia="Andale Sans UI" w:hAnsi="Arial" w:cs="Arial"/>
          <w:bCs/>
          <w:color w:val="auto"/>
          <w:lang w:eastAsia="ja-JP" w:bidi="fa-IR"/>
        </w:rPr>
        <w:t xml:space="preserve">. w okresie wypowiedzenia umowy o pracę pracownik jest obowiązany wykorzystać przysługujący mu urlop, jeżeli w tym okresie pracodawca udzieli mu urlopu. </w:t>
      </w:r>
      <w:r w:rsidRPr="00F0151C">
        <w:rPr>
          <w:rFonts w:ascii="Arial" w:eastAsia="Andale Sans UI" w:hAnsi="Arial" w:cs="Arial"/>
          <w:b/>
          <w:bCs/>
          <w:color w:val="auto"/>
          <w:lang w:eastAsia="ja-JP" w:bidi="fa-IR"/>
        </w:rPr>
        <w:t>Mając na uwadze ww. przepisy i obowiązującą jednostki publiczne zasadę gospodarności zwraca się uwagę na organizację pracy zmierzającą do ograniczenia do niezbędnego minimum dodatkowych kosztów w</w:t>
      </w:r>
      <w:r w:rsidR="008F191A" w:rsidRPr="00F0151C">
        <w:rPr>
          <w:rFonts w:ascii="Arial" w:eastAsia="Andale Sans UI" w:hAnsi="Arial" w:cs="Arial"/>
          <w:b/>
          <w:bCs/>
          <w:color w:val="auto"/>
          <w:lang w:eastAsia="ja-JP" w:bidi="fa-IR"/>
        </w:rPr>
        <w:t> </w:t>
      </w:r>
      <w:r w:rsidRPr="00F0151C">
        <w:rPr>
          <w:rFonts w:ascii="Arial" w:eastAsia="Andale Sans UI" w:hAnsi="Arial" w:cs="Arial"/>
          <w:b/>
          <w:bCs/>
          <w:color w:val="auto"/>
          <w:lang w:eastAsia="ja-JP" w:bidi="fa-IR"/>
        </w:rPr>
        <w:t>postaci ekwiwalentów za niewykorzystany urlop wypoczynkowy.</w:t>
      </w:r>
    </w:p>
    <w:p w14:paraId="1D2DA6A6" w14:textId="1C8FB22E" w:rsidR="005D1CB8" w:rsidRPr="00F0151C" w:rsidRDefault="005D1CB8" w:rsidP="005D1CB8">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ab/>
        <w:t>Zgodnie z zapisami Załącznika nr 8 do Regulaminu wynagradzania „</w:t>
      </w:r>
      <w:r w:rsidRPr="00F0151C">
        <w:rPr>
          <w:rFonts w:ascii="Arial" w:eastAsia="Andale Sans UI" w:hAnsi="Arial" w:cs="Arial"/>
          <w:i/>
          <w:iCs/>
          <w:color w:val="auto"/>
          <w:spacing w:val="-2"/>
          <w:lang w:eastAsia="ja-JP" w:bidi="fa-IR"/>
        </w:rPr>
        <w:t>wypłata nagrody jubileuszowej powinna nastąpić niezwłocznie po nabyciu przez pracownika prawa do tej nagrody, jednakże nie później niż w dniu wypłaty wynagrodzenia za dany miesiąc”.</w:t>
      </w:r>
      <w:r w:rsidRPr="00F0151C">
        <w:rPr>
          <w:rFonts w:ascii="Arial" w:eastAsia="Andale Sans UI" w:hAnsi="Arial" w:cs="Arial"/>
          <w:color w:val="auto"/>
          <w:spacing w:val="-2"/>
          <w:lang w:eastAsia="ja-JP" w:bidi="fa-IR"/>
        </w:rPr>
        <w:t xml:space="preserve"> </w:t>
      </w:r>
      <w:r w:rsidRPr="00F0151C">
        <w:rPr>
          <w:rFonts w:ascii="Arial" w:eastAsia="Andale Sans UI" w:hAnsi="Arial" w:cs="Arial"/>
          <w:b/>
          <w:bCs/>
          <w:color w:val="auto"/>
          <w:spacing w:val="-2"/>
          <w:lang w:eastAsia="ja-JP" w:bidi="fa-IR"/>
        </w:rPr>
        <w:lastRenderedPageBreak/>
        <w:t>Weryfikacja terminów wypłaty nagród wykazała, że w praktyce zakład przyjął zasadę, że wypłata nagrody będzie następować w terminie wypłaty najbliższego wynagrodzenia, bez względu na to w jakim dniu pracownik nabył prawo do nagrody. Praktyka ta narusza zapis art. 8 ust. 4 rozporządzenia Rady Ministrów z dnia 25 października 2021 r. w</w:t>
      </w:r>
      <w:r w:rsidR="00D64481" w:rsidRPr="00F0151C">
        <w:rPr>
          <w:rFonts w:ascii="Arial" w:eastAsia="Andale Sans UI" w:hAnsi="Arial" w:cs="Arial"/>
          <w:b/>
          <w:bCs/>
          <w:color w:val="auto"/>
          <w:spacing w:val="-2"/>
          <w:lang w:eastAsia="ja-JP" w:bidi="fa-IR"/>
        </w:rPr>
        <w:t> </w:t>
      </w:r>
      <w:r w:rsidRPr="00F0151C">
        <w:rPr>
          <w:rFonts w:ascii="Arial" w:eastAsia="Andale Sans UI" w:hAnsi="Arial" w:cs="Arial"/>
          <w:b/>
          <w:bCs/>
          <w:color w:val="auto"/>
          <w:spacing w:val="-2"/>
          <w:lang w:eastAsia="ja-JP" w:bidi="fa-IR"/>
        </w:rPr>
        <w:t xml:space="preserve">sprawie wynagradzania pracowników samorządowych (Dz. U. poz. 1960 z późn. zm.), zgodnie z którym </w:t>
      </w:r>
      <w:r w:rsidRPr="00F0151C">
        <w:rPr>
          <w:rFonts w:ascii="Arial" w:eastAsia="Andale Sans UI" w:hAnsi="Arial" w:cs="Arial"/>
          <w:b/>
          <w:bCs/>
          <w:i/>
          <w:iCs/>
          <w:color w:val="auto"/>
          <w:spacing w:val="-2"/>
          <w:lang w:eastAsia="ja-JP" w:bidi="fa-IR"/>
        </w:rPr>
        <w:t>nagrodę jubileuszową wypłaca się niezwłocznie po nabyciu przez pracownika samorządowego prawa do tej nagrody.</w:t>
      </w:r>
    </w:p>
    <w:p w14:paraId="7B5EE2AD" w14:textId="77777777" w:rsidR="005D1CB8" w:rsidRPr="00F0151C" w:rsidRDefault="005D1CB8" w:rsidP="005D1CB8">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Powyższe oznacza, że przepisy nie przewidują żadnego odrębnego terminu wypłaty nagrody jubileuszowej. Nie jest to także termin wypłaty wynagrodzenia gdyż nagroda jubileuszowa nie jest składnikiem wynagrodzenia, lecz innym świadczeniem pieniężnym. Ponadto przyjęcie takiej zasady może mieć wpływ na ustalenie nieprawidłowej wysokości nagrody, do wyliczenia której należy uwzględnić właściwe składniki zmienne wynagrodzenia. </w:t>
      </w:r>
    </w:p>
    <w:p w14:paraId="022B05C8" w14:textId="77777777" w:rsidR="005D1CB8" w:rsidRPr="00F0151C" w:rsidRDefault="005D1CB8" w:rsidP="005D1CB8">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b/>
          <w:bCs/>
          <w:color w:val="auto"/>
          <w:spacing w:val="-2"/>
          <w:lang w:eastAsia="ja-JP" w:bidi="fa-IR"/>
        </w:rPr>
      </w:pPr>
      <w:r w:rsidRPr="00F0151C">
        <w:rPr>
          <w:rFonts w:ascii="Arial" w:eastAsia="Andale Sans UI" w:hAnsi="Arial" w:cs="Arial"/>
          <w:color w:val="auto"/>
          <w:spacing w:val="-2"/>
          <w:lang w:eastAsia="ja-JP" w:bidi="fa-IR"/>
        </w:rPr>
        <w:tab/>
      </w:r>
      <w:r w:rsidRPr="00F0151C">
        <w:rPr>
          <w:rFonts w:ascii="Arial" w:eastAsia="Andale Sans UI" w:hAnsi="Arial" w:cs="Arial"/>
          <w:b/>
          <w:bCs/>
          <w:color w:val="auto"/>
          <w:spacing w:val="-2"/>
          <w:lang w:eastAsia="ja-JP" w:bidi="fa-IR"/>
        </w:rPr>
        <w:t>Kontroli poddano wysokość wypłaconych nagród jubileuszowych, ekwiwalentów za niewykorzystany urlop oraz odpraw emerytalnych stwierdzając następujące nieprawidłowości:</w:t>
      </w:r>
    </w:p>
    <w:p w14:paraId="478971BE" w14:textId="1BE4CEC9" w:rsidR="005D1CB8" w:rsidRPr="00F0151C" w:rsidRDefault="005D1CB8" w:rsidP="00384BC5">
      <w:pPr>
        <w:widowControl w:val="0"/>
        <w:numPr>
          <w:ilvl w:val="0"/>
          <w:numId w:val="22"/>
        </w:numPr>
        <w:tabs>
          <w:tab w:val="left" w:pos="-8505"/>
          <w:tab w:val="left" w:pos="-2127"/>
          <w:tab w:val="left" w:pos="426"/>
        </w:tabs>
        <w:suppressAutoHyphens/>
        <w:overflowPunct/>
        <w:spacing w:after="0" w:line="360" w:lineRule="auto"/>
        <w:ind w:left="426" w:hanging="426"/>
        <w:contextualSpacing/>
        <w:jc w:val="both"/>
        <w:textAlignment w:val="baseline"/>
        <w:rPr>
          <w:rFonts w:ascii="Arial" w:eastAsia="Andale Sans UI" w:hAnsi="Arial" w:cs="Arial"/>
          <w:b/>
          <w:bCs/>
          <w:color w:val="auto"/>
          <w:lang w:eastAsia="ja-JP" w:bidi="fa-IR"/>
        </w:rPr>
      </w:pPr>
      <w:bookmarkStart w:id="32" w:name="_Hlk147311026"/>
      <w:r w:rsidRPr="00F0151C">
        <w:rPr>
          <w:rFonts w:ascii="Arial" w:eastAsia="Andale Sans UI" w:hAnsi="Arial" w:cs="Arial"/>
          <w:color w:val="auto"/>
          <w:lang w:eastAsia="ja-JP" w:bidi="fa-IR"/>
        </w:rPr>
        <w:t xml:space="preserve">byłemu pracownikowi o numerze komputerowym 842 w związku z rozwiązaniem umowy o pracę wypłacono ekwiwalent za 78 godz. niewykorzystanego urlopu wypoczynkowego. Weryfikacja rocznej karty wynagrodzeń wykazała, że do wyliczenia kwoty ekwiwalentu przyjęto błędną kwoty dodatku za wieloletnią pracę. Ponadto, nieprawidłowo wyliczono kwotę zmiennych składników wynagrodzenia. </w:t>
      </w:r>
      <w:r w:rsidRPr="00F0151C">
        <w:rPr>
          <w:rFonts w:ascii="Arial" w:eastAsia="Andale Sans UI" w:hAnsi="Arial" w:cs="Arial"/>
          <w:b/>
          <w:bCs/>
          <w:color w:val="auto"/>
          <w:lang w:eastAsia="ja-JP" w:bidi="fa-IR"/>
        </w:rPr>
        <w:t>W wyniku powyższych błędów kwotę ekwiwalentu zaniżono o 71 zł brutto,</w:t>
      </w:r>
    </w:p>
    <w:p w14:paraId="7EDD66AE" w14:textId="118B821B" w:rsidR="005D1CB8" w:rsidRPr="00F0151C" w:rsidRDefault="005D1CB8" w:rsidP="00384BC5">
      <w:pPr>
        <w:widowControl w:val="0"/>
        <w:numPr>
          <w:ilvl w:val="0"/>
          <w:numId w:val="22"/>
        </w:numPr>
        <w:tabs>
          <w:tab w:val="left" w:pos="-8505"/>
          <w:tab w:val="left" w:pos="-2127"/>
          <w:tab w:val="left" w:pos="426"/>
        </w:tabs>
        <w:suppressAutoHyphens/>
        <w:overflowPunct/>
        <w:spacing w:after="0" w:line="360" w:lineRule="auto"/>
        <w:ind w:left="426" w:hanging="426"/>
        <w:contextualSpacing/>
        <w:jc w:val="both"/>
        <w:textAlignment w:val="baseline"/>
        <w:rPr>
          <w:rFonts w:ascii="Arial" w:eastAsia="Andale Sans UI" w:hAnsi="Arial" w:cs="Arial"/>
          <w:b/>
          <w:bCs/>
          <w:color w:val="auto"/>
          <w:lang w:eastAsia="ja-JP" w:bidi="fa-IR"/>
        </w:rPr>
      </w:pPr>
      <w:r w:rsidRPr="00F0151C">
        <w:rPr>
          <w:rFonts w:ascii="Arial" w:eastAsia="Andale Sans UI" w:hAnsi="Arial" w:cs="Arial"/>
          <w:color w:val="auto"/>
          <w:lang w:eastAsia="ja-JP" w:bidi="fa-IR"/>
        </w:rPr>
        <w:t xml:space="preserve">pracownikowi o numerze komputerowym 507 w styczniu 2022 r. wypłacono nagrodę jubileuszową za 25 lat pracy. </w:t>
      </w:r>
      <w:bookmarkStart w:id="33" w:name="_Hlk145578843"/>
      <w:r w:rsidRPr="00F0151C">
        <w:rPr>
          <w:rFonts w:ascii="Arial" w:eastAsia="Andale Sans UI" w:hAnsi="Arial" w:cs="Arial"/>
          <w:color w:val="auto"/>
          <w:lang w:eastAsia="ja-JP" w:bidi="fa-IR"/>
        </w:rPr>
        <w:t xml:space="preserve">W wyniku błędnego przeniesienia </w:t>
      </w:r>
      <w:r w:rsidR="001062F7" w:rsidRPr="00F0151C">
        <w:rPr>
          <w:rFonts w:ascii="Arial" w:eastAsia="Andale Sans UI" w:hAnsi="Arial" w:cs="Arial"/>
          <w:color w:val="auto"/>
          <w:lang w:eastAsia="ja-JP" w:bidi="fa-IR"/>
        </w:rPr>
        <w:t xml:space="preserve">z arkusza kalkulacyjnego </w:t>
      </w:r>
      <w:r w:rsidRPr="00F0151C">
        <w:rPr>
          <w:rFonts w:ascii="Arial" w:eastAsia="Andale Sans UI" w:hAnsi="Arial" w:cs="Arial"/>
          <w:color w:val="auto"/>
          <w:lang w:eastAsia="ja-JP" w:bidi="fa-IR"/>
        </w:rPr>
        <w:t xml:space="preserve">wyliczonej kwoty średniej z składników zmiennych tj. </w:t>
      </w:r>
      <w:r w:rsidRPr="00F0151C">
        <w:rPr>
          <w:rFonts w:ascii="Arial" w:eastAsia="Andale Sans UI" w:hAnsi="Arial" w:cs="Arial"/>
          <w:b/>
          <w:bCs/>
          <w:color w:val="auto"/>
          <w:lang w:eastAsia="ja-JP" w:bidi="fa-IR"/>
        </w:rPr>
        <w:t>premii regulaminowej kwotę nagrody zawyżono o 1 592,17 zł brutto,</w:t>
      </w:r>
    </w:p>
    <w:bookmarkEnd w:id="33"/>
    <w:p w14:paraId="0EB91E32" w14:textId="1DFA0685" w:rsidR="005D1CB8" w:rsidRPr="00F0151C" w:rsidRDefault="005D1CB8" w:rsidP="00384BC5">
      <w:pPr>
        <w:widowControl w:val="0"/>
        <w:numPr>
          <w:ilvl w:val="0"/>
          <w:numId w:val="22"/>
        </w:numPr>
        <w:tabs>
          <w:tab w:val="left" w:pos="-8505"/>
          <w:tab w:val="left" w:pos="-2127"/>
          <w:tab w:val="left" w:pos="426"/>
        </w:tabs>
        <w:suppressAutoHyphens/>
        <w:overflowPunct/>
        <w:spacing w:after="0" w:line="360" w:lineRule="auto"/>
        <w:ind w:left="426" w:hanging="426"/>
        <w:contextualSpacing/>
        <w:jc w:val="both"/>
        <w:textAlignment w:val="baseline"/>
        <w:rPr>
          <w:rFonts w:ascii="Arial" w:eastAsia="Andale Sans UI" w:hAnsi="Arial" w:cs="Arial"/>
          <w:b/>
          <w:bCs/>
          <w:color w:val="auto"/>
          <w:lang w:eastAsia="ja-JP" w:bidi="fa-IR"/>
        </w:rPr>
      </w:pPr>
      <w:r w:rsidRPr="00F0151C">
        <w:rPr>
          <w:rFonts w:ascii="Arial" w:eastAsia="Andale Sans UI" w:hAnsi="Arial" w:cs="Arial"/>
          <w:color w:val="auto"/>
          <w:lang w:eastAsia="ja-JP" w:bidi="fa-IR"/>
        </w:rPr>
        <w:t xml:space="preserve">pracownikowi o numerze komputerowym 138 w luty 2022 r. wypłacono nagrodę jubileuszową za 40 lat pracy. W wyniku błędnego przeniesienia </w:t>
      </w:r>
      <w:r w:rsidR="001062F7" w:rsidRPr="00F0151C">
        <w:rPr>
          <w:rFonts w:ascii="Arial" w:eastAsia="Andale Sans UI" w:hAnsi="Arial" w:cs="Arial"/>
          <w:color w:val="auto"/>
          <w:lang w:eastAsia="ja-JP" w:bidi="fa-IR"/>
        </w:rPr>
        <w:t xml:space="preserve">z arkusza kalkulacyjnego </w:t>
      </w:r>
      <w:r w:rsidRPr="00F0151C">
        <w:rPr>
          <w:rFonts w:ascii="Arial" w:eastAsia="Andale Sans UI" w:hAnsi="Arial" w:cs="Arial"/>
          <w:color w:val="auto"/>
          <w:lang w:eastAsia="ja-JP" w:bidi="fa-IR"/>
        </w:rPr>
        <w:t xml:space="preserve">wyliczonej kwoty średniej z składników zmiennych tj. </w:t>
      </w:r>
      <w:r w:rsidRPr="00F0151C">
        <w:rPr>
          <w:rFonts w:ascii="Arial" w:eastAsia="Andale Sans UI" w:hAnsi="Arial" w:cs="Arial"/>
          <w:b/>
          <w:bCs/>
          <w:color w:val="auto"/>
          <w:lang w:eastAsia="ja-JP" w:bidi="fa-IR"/>
        </w:rPr>
        <w:t>premii regulaminowej kwotę nagrody zaniżono o 6 678 zł brutto</w:t>
      </w:r>
      <w:r w:rsidR="008C481C" w:rsidRPr="00F0151C">
        <w:rPr>
          <w:rFonts w:ascii="Arial" w:eastAsia="Andale Sans UI" w:hAnsi="Arial" w:cs="Arial"/>
          <w:b/>
          <w:bCs/>
          <w:color w:val="auto"/>
          <w:lang w:eastAsia="ja-JP" w:bidi="fa-IR"/>
        </w:rPr>
        <w:t>,</w:t>
      </w:r>
    </w:p>
    <w:p w14:paraId="6EC816BD" w14:textId="18C6CED8" w:rsidR="005D1CB8" w:rsidRPr="00F0151C" w:rsidRDefault="005D1CB8" w:rsidP="00384BC5">
      <w:pPr>
        <w:widowControl w:val="0"/>
        <w:numPr>
          <w:ilvl w:val="0"/>
          <w:numId w:val="22"/>
        </w:numPr>
        <w:tabs>
          <w:tab w:val="left" w:pos="-8505"/>
          <w:tab w:val="left" w:pos="-2127"/>
          <w:tab w:val="left" w:pos="426"/>
        </w:tabs>
        <w:suppressAutoHyphens/>
        <w:overflowPunct/>
        <w:spacing w:after="0" w:line="360" w:lineRule="auto"/>
        <w:ind w:left="426" w:hanging="426"/>
        <w:contextualSpacing/>
        <w:jc w:val="both"/>
        <w:textAlignment w:val="baseline"/>
        <w:rPr>
          <w:rFonts w:ascii="Arial" w:eastAsia="Andale Sans UI" w:hAnsi="Arial" w:cs="Arial"/>
          <w:b/>
          <w:bCs/>
          <w:color w:val="auto"/>
          <w:lang w:eastAsia="ja-JP" w:bidi="fa-IR"/>
        </w:rPr>
      </w:pPr>
      <w:r w:rsidRPr="00F0151C">
        <w:rPr>
          <w:rFonts w:ascii="Arial" w:eastAsia="Andale Sans UI" w:hAnsi="Arial" w:cs="Arial"/>
          <w:color w:val="auto"/>
          <w:lang w:eastAsia="ja-JP" w:bidi="fa-IR"/>
        </w:rPr>
        <w:t xml:space="preserve">pracownikowi o numerze komputerowym 880 wypłacono w lutym 2022 r. nagrodę jubileuszową za 20 lat pracy. </w:t>
      </w:r>
      <w:bookmarkStart w:id="34" w:name="_Hlk145578647"/>
      <w:r w:rsidRPr="00F0151C">
        <w:rPr>
          <w:rFonts w:ascii="Arial" w:eastAsia="Andale Sans UI" w:hAnsi="Arial" w:cs="Arial"/>
          <w:color w:val="auto"/>
          <w:lang w:eastAsia="ja-JP" w:bidi="fa-IR"/>
        </w:rPr>
        <w:t xml:space="preserve">Weryfikacja rocznej karty wynagrodzeń wykazała, iż błędnie ustalono kwotę średniej ze składników zmiennych wynagrodzenia (premia regulaminowa). </w:t>
      </w:r>
      <w:r w:rsidRPr="00F0151C">
        <w:rPr>
          <w:rFonts w:ascii="Arial" w:eastAsia="Andale Sans UI" w:hAnsi="Arial" w:cs="Arial"/>
          <w:b/>
          <w:bCs/>
          <w:color w:val="auto"/>
          <w:lang w:eastAsia="ja-JP" w:bidi="fa-IR"/>
        </w:rPr>
        <w:t>W związku z powyższym kwotę nagrody zawyżono o kwotę 86,25</w:t>
      </w:r>
      <w:r w:rsidR="00905D63" w:rsidRPr="00F0151C">
        <w:rPr>
          <w:rFonts w:ascii="Arial" w:eastAsia="Andale Sans UI" w:hAnsi="Arial" w:cs="Arial"/>
          <w:b/>
          <w:bCs/>
          <w:color w:val="auto"/>
          <w:lang w:eastAsia="ja-JP" w:bidi="fa-IR"/>
        </w:rPr>
        <w:t> </w:t>
      </w:r>
      <w:r w:rsidRPr="00F0151C">
        <w:rPr>
          <w:rFonts w:ascii="Arial" w:eastAsia="Andale Sans UI" w:hAnsi="Arial" w:cs="Arial"/>
          <w:b/>
          <w:bCs/>
          <w:color w:val="auto"/>
          <w:lang w:eastAsia="ja-JP" w:bidi="fa-IR"/>
        </w:rPr>
        <w:t>zł</w:t>
      </w:r>
      <w:r w:rsidR="008C481C" w:rsidRPr="00F0151C">
        <w:rPr>
          <w:rFonts w:ascii="Arial" w:eastAsia="Andale Sans UI" w:hAnsi="Arial" w:cs="Arial"/>
          <w:b/>
          <w:bCs/>
          <w:color w:val="auto"/>
          <w:lang w:eastAsia="ja-JP" w:bidi="fa-IR"/>
        </w:rPr>
        <w:t> </w:t>
      </w:r>
      <w:r w:rsidRPr="00F0151C">
        <w:rPr>
          <w:rFonts w:ascii="Arial" w:eastAsia="Andale Sans UI" w:hAnsi="Arial" w:cs="Arial"/>
          <w:b/>
          <w:bCs/>
          <w:color w:val="auto"/>
          <w:lang w:eastAsia="ja-JP" w:bidi="fa-IR"/>
        </w:rPr>
        <w:t xml:space="preserve">brutto, </w:t>
      </w:r>
    </w:p>
    <w:bookmarkEnd w:id="34"/>
    <w:p w14:paraId="0D1D41CE" w14:textId="1F8FE1DA" w:rsidR="005D1CB8" w:rsidRPr="00F0151C" w:rsidRDefault="005D1CB8" w:rsidP="00384BC5">
      <w:pPr>
        <w:widowControl w:val="0"/>
        <w:numPr>
          <w:ilvl w:val="0"/>
          <w:numId w:val="22"/>
        </w:numPr>
        <w:tabs>
          <w:tab w:val="left" w:pos="-8505"/>
          <w:tab w:val="left" w:pos="-2127"/>
          <w:tab w:val="left" w:pos="426"/>
        </w:tabs>
        <w:suppressAutoHyphens/>
        <w:overflowPunct/>
        <w:spacing w:after="0" w:line="360" w:lineRule="auto"/>
        <w:ind w:left="426" w:hanging="426"/>
        <w:contextualSpacing/>
        <w:jc w:val="both"/>
        <w:textAlignment w:val="baseline"/>
        <w:rPr>
          <w:rFonts w:ascii="Arial" w:eastAsia="Andale Sans UI" w:hAnsi="Arial" w:cs="Arial"/>
          <w:b/>
          <w:bCs/>
          <w:color w:val="auto"/>
          <w:lang w:eastAsia="ja-JP" w:bidi="fa-IR"/>
        </w:rPr>
      </w:pPr>
      <w:r w:rsidRPr="00F0151C">
        <w:rPr>
          <w:rFonts w:ascii="Arial" w:eastAsia="Andale Sans UI" w:hAnsi="Arial" w:cs="Arial"/>
          <w:color w:val="auto"/>
          <w:lang w:eastAsia="ja-JP" w:bidi="fa-IR"/>
        </w:rPr>
        <w:t xml:space="preserve">pracownikowi o numerze komputerowym 912 w marcu 2022 r. wypłacono nagrodę jubileuszową za 35 lat pracy. Weryfikacja rocznej karty wynagrodzeń wykazała, iż </w:t>
      </w:r>
      <w:r w:rsidRPr="00F0151C">
        <w:rPr>
          <w:rFonts w:ascii="Arial" w:eastAsia="Andale Sans UI" w:hAnsi="Arial" w:cs="Arial"/>
          <w:color w:val="auto"/>
          <w:lang w:eastAsia="ja-JP" w:bidi="fa-IR"/>
        </w:rPr>
        <w:lastRenderedPageBreak/>
        <w:t xml:space="preserve">błędnie ustalono kwotę średniej ze składników zmiennych wynagrodzenia (premia regulaminowa). </w:t>
      </w:r>
      <w:r w:rsidRPr="00F0151C">
        <w:rPr>
          <w:rFonts w:ascii="Arial" w:eastAsia="Andale Sans UI" w:hAnsi="Arial" w:cs="Arial"/>
          <w:b/>
          <w:bCs/>
          <w:color w:val="auto"/>
          <w:lang w:eastAsia="ja-JP" w:bidi="fa-IR"/>
        </w:rPr>
        <w:t>W związku z powyższym kwotę nagrody zaniżono o kwotę 213,34</w:t>
      </w:r>
      <w:r w:rsidR="00905D63" w:rsidRPr="00F0151C">
        <w:rPr>
          <w:rFonts w:ascii="Arial" w:eastAsia="Andale Sans UI" w:hAnsi="Arial" w:cs="Arial"/>
          <w:b/>
          <w:bCs/>
          <w:color w:val="auto"/>
          <w:lang w:eastAsia="ja-JP" w:bidi="fa-IR"/>
        </w:rPr>
        <w:t> </w:t>
      </w:r>
      <w:r w:rsidRPr="00F0151C">
        <w:rPr>
          <w:rFonts w:ascii="Arial" w:eastAsia="Andale Sans UI" w:hAnsi="Arial" w:cs="Arial"/>
          <w:b/>
          <w:bCs/>
          <w:color w:val="auto"/>
          <w:lang w:eastAsia="ja-JP" w:bidi="fa-IR"/>
        </w:rPr>
        <w:t>zł</w:t>
      </w:r>
      <w:r w:rsidR="008C481C" w:rsidRPr="00F0151C">
        <w:rPr>
          <w:rFonts w:ascii="Arial" w:eastAsia="Andale Sans UI" w:hAnsi="Arial" w:cs="Arial"/>
          <w:b/>
          <w:bCs/>
          <w:color w:val="auto"/>
          <w:lang w:eastAsia="ja-JP" w:bidi="fa-IR"/>
        </w:rPr>
        <w:t> </w:t>
      </w:r>
      <w:r w:rsidRPr="00F0151C">
        <w:rPr>
          <w:rFonts w:ascii="Arial" w:eastAsia="Andale Sans UI" w:hAnsi="Arial" w:cs="Arial"/>
          <w:b/>
          <w:bCs/>
          <w:color w:val="auto"/>
          <w:lang w:eastAsia="ja-JP" w:bidi="fa-IR"/>
        </w:rPr>
        <w:t xml:space="preserve">brutto, </w:t>
      </w:r>
    </w:p>
    <w:p w14:paraId="36723A1A" w14:textId="41A7C20A" w:rsidR="005D1CB8" w:rsidRPr="00F0151C" w:rsidRDefault="005D1CB8" w:rsidP="00384BC5">
      <w:pPr>
        <w:widowControl w:val="0"/>
        <w:numPr>
          <w:ilvl w:val="0"/>
          <w:numId w:val="22"/>
        </w:numPr>
        <w:tabs>
          <w:tab w:val="left" w:pos="-8505"/>
          <w:tab w:val="left" w:pos="-2127"/>
          <w:tab w:val="left" w:pos="426"/>
        </w:tabs>
        <w:suppressAutoHyphens/>
        <w:overflowPunct/>
        <w:spacing w:after="0" w:line="360" w:lineRule="auto"/>
        <w:ind w:left="426" w:hanging="426"/>
        <w:contextualSpacing/>
        <w:jc w:val="both"/>
        <w:textAlignment w:val="baseline"/>
        <w:rPr>
          <w:rFonts w:ascii="Arial" w:eastAsia="Andale Sans UI" w:hAnsi="Arial" w:cs="Arial"/>
          <w:b/>
          <w:bCs/>
          <w:color w:val="auto"/>
          <w:lang w:eastAsia="ja-JP" w:bidi="fa-IR"/>
        </w:rPr>
      </w:pPr>
      <w:r w:rsidRPr="00F0151C">
        <w:rPr>
          <w:rFonts w:ascii="Arial" w:eastAsia="Andale Sans UI" w:hAnsi="Arial" w:cs="Arial"/>
          <w:color w:val="auto"/>
          <w:lang w:eastAsia="ja-JP" w:bidi="fa-IR"/>
        </w:rPr>
        <w:t xml:space="preserve">pracownikowi o numerze komputerowym 931 w grudniu 2022 r. wypłacono nagrodę jubileuszową za 20 lat pracy. W wyniku błędnego przeniesienia wyliczonej kwoty średniej z składników zmiennych tj. </w:t>
      </w:r>
      <w:r w:rsidRPr="00F0151C">
        <w:rPr>
          <w:rFonts w:ascii="Arial" w:eastAsia="Andale Sans UI" w:hAnsi="Arial" w:cs="Arial"/>
          <w:b/>
          <w:bCs/>
          <w:color w:val="auto"/>
          <w:lang w:eastAsia="ja-JP" w:bidi="fa-IR"/>
        </w:rPr>
        <w:t>premii regulaminowej kwotę nagrody zaniżono o</w:t>
      </w:r>
      <w:r w:rsidR="004A7B7D" w:rsidRPr="00F0151C">
        <w:rPr>
          <w:rFonts w:ascii="Arial" w:eastAsia="Andale Sans UI" w:hAnsi="Arial" w:cs="Arial"/>
          <w:b/>
          <w:bCs/>
          <w:color w:val="auto"/>
          <w:lang w:eastAsia="ja-JP" w:bidi="fa-IR"/>
        </w:rPr>
        <w:t> </w:t>
      </w:r>
      <w:r w:rsidRPr="00F0151C">
        <w:rPr>
          <w:rFonts w:ascii="Arial" w:eastAsia="Andale Sans UI" w:hAnsi="Arial" w:cs="Arial"/>
          <w:b/>
          <w:bCs/>
          <w:color w:val="auto"/>
          <w:lang w:eastAsia="ja-JP" w:bidi="fa-IR"/>
        </w:rPr>
        <w:t>178,50</w:t>
      </w:r>
      <w:r w:rsidR="008C481C" w:rsidRPr="00F0151C">
        <w:rPr>
          <w:rFonts w:ascii="Arial" w:eastAsia="Andale Sans UI" w:hAnsi="Arial" w:cs="Arial"/>
          <w:b/>
          <w:bCs/>
          <w:color w:val="auto"/>
          <w:lang w:eastAsia="ja-JP" w:bidi="fa-IR"/>
        </w:rPr>
        <w:t> </w:t>
      </w:r>
      <w:r w:rsidRPr="00F0151C">
        <w:rPr>
          <w:rFonts w:ascii="Arial" w:eastAsia="Andale Sans UI" w:hAnsi="Arial" w:cs="Arial"/>
          <w:b/>
          <w:bCs/>
          <w:color w:val="auto"/>
          <w:lang w:eastAsia="ja-JP" w:bidi="fa-IR"/>
        </w:rPr>
        <w:t>zł brutto</w:t>
      </w:r>
      <w:r w:rsidR="008C481C" w:rsidRPr="00F0151C">
        <w:rPr>
          <w:rFonts w:ascii="Arial" w:eastAsia="Andale Sans UI" w:hAnsi="Arial" w:cs="Arial"/>
          <w:b/>
          <w:bCs/>
          <w:color w:val="auto"/>
          <w:lang w:eastAsia="ja-JP" w:bidi="fa-IR"/>
        </w:rPr>
        <w:t>.</w:t>
      </w:r>
    </w:p>
    <w:bookmarkEnd w:id="32"/>
    <w:p w14:paraId="572BCF1C" w14:textId="5D1A5593" w:rsidR="005D1CB8" w:rsidRPr="00F0151C" w:rsidRDefault="001062F7" w:rsidP="005D1CB8">
      <w:pPr>
        <w:widowControl w:val="0"/>
        <w:tabs>
          <w:tab w:val="left" w:pos="-8505"/>
          <w:tab w:val="left" w:pos="-2127"/>
          <w:tab w:val="left" w:pos="426"/>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W</w:t>
      </w:r>
      <w:r w:rsidR="005D1CB8" w:rsidRPr="00F0151C">
        <w:rPr>
          <w:rFonts w:ascii="Arial" w:eastAsia="Andale Sans UI" w:hAnsi="Arial" w:cs="Arial"/>
          <w:color w:val="auto"/>
          <w:spacing w:val="-2"/>
          <w:lang w:eastAsia="ja-JP" w:bidi="fa-IR"/>
        </w:rPr>
        <w:t xml:space="preserve"> </w:t>
      </w:r>
      <w:r w:rsidRPr="00F0151C">
        <w:rPr>
          <w:rFonts w:ascii="Arial" w:eastAsia="Andale Sans UI" w:hAnsi="Arial" w:cs="Arial"/>
          <w:color w:val="auto"/>
          <w:spacing w:val="-2"/>
          <w:lang w:eastAsia="ja-JP" w:bidi="fa-IR"/>
        </w:rPr>
        <w:t>trakcie prowadzonych czynności kontrolnych</w:t>
      </w:r>
      <w:r w:rsidR="00031CED" w:rsidRPr="00F0151C">
        <w:rPr>
          <w:rFonts w:ascii="Arial" w:eastAsia="Andale Sans UI" w:hAnsi="Arial" w:cs="Arial"/>
          <w:color w:val="auto"/>
          <w:spacing w:val="-2"/>
          <w:lang w:eastAsia="ja-JP" w:bidi="fa-IR"/>
        </w:rPr>
        <w:t xml:space="preserve"> </w:t>
      </w:r>
      <w:r w:rsidR="005D1CB8" w:rsidRPr="00F0151C">
        <w:rPr>
          <w:rFonts w:ascii="Arial" w:eastAsia="Andale Sans UI" w:hAnsi="Arial" w:cs="Arial"/>
          <w:color w:val="auto"/>
          <w:spacing w:val="-2"/>
          <w:lang w:eastAsia="ja-JP" w:bidi="fa-IR"/>
        </w:rPr>
        <w:t>14.09.2023 r. kontrolującym przedłożono listy płac oraz potwierdzenia przelewów, zgodnie z którymi wszystkie zaniżone kwoty nagród jubileuszowych oraz ekwiwalentu zostały 12.09.2023 r. nadpłacone. Ponadto pismem z dnia 13 września 2023 r. Dyrektor MZBM oświadczył, że dwóch pracowników, którym wypłacono nagrody w zawyżonej wysokości zadeklarowało zwrot nienależnych środków. Zaznaczyć również należy, że aneksem nr 6/2023 do regulaminu wynagradzania wprowadzonym zarządzeniem 0152/21/01/2023 z 30.01.2023 r.  zrezygnowano z czasowo – premiowego systemu wynagradzania likwidując tym samym premie regulaminowe. Od 2023 r. w MZBM obowiązuje system wynagradzania polegający na tym, że pracownicy otrzymują wynagrodzenie wynikające ze stawki osobistego zaszeregowania i faktycznego czasu pracy.</w:t>
      </w:r>
    </w:p>
    <w:p w14:paraId="64CB0846" w14:textId="77777777" w:rsidR="00384BC5" w:rsidRPr="00F0151C" w:rsidRDefault="005D1CB8" w:rsidP="00384BC5">
      <w:pPr>
        <w:widowControl w:val="0"/>
        <w:tabs>
          <w:tab w:val="left" w:pos="-8505"/>
          <w:tab w:val="left" w:pos="-2127"/>
          <w:tab w:val="left" w:pos="426"/>
        </w:tabs>
        <w:suppressAutoHyphens/>
        <w:spacing w:after="0" w:line="360" w:lineRule="auto"/>
        <w:jc w:val="both"/>
        <w:textAlignment w:val="baseline"/>
        <w:rPr>
          <w:rFonts w:ascii="Arial" w:eastAsia="Andale Sans UI" w:hAnsi="Arial" w:cs="Arial"/>
          <w:b/>
          <w:bCs/>
          <w:color w:val="auto"/>
          <w:spacing w:val="-2"/>
          <w:lang w:eastAsia="ja-JP" w:bidi="fa-IR"/>
        </w:rPr>
      </w:pPr>
      <w:r w:rsidRPr="00F0151C">
        <w:rPr>
          <w:rFonts w:ascii="Arial" w:eastAsia="Andale Sans UI" w:hAnsi="Arial" w:cs="Arial"/>
          <w:color w:val="auto"/>
          <w:spacing w:val="-2"/>
          <w:lang w:eastAsia="ja-JP" w:bidi="fa-IR"/>
        </w:rPr>
        <w:tab/>
      </w:r>
      <w:bookmarkStart w:id="35" w:name="_Hlk147311361"/>
      <w:r w:rsidR="00384BC5" w:rsidRPr="00F0151C">
        <w:rPr>
          <w:rFonts w:ascii="Arial" w:eastAsia="Andale Sans UI" w:hAnsi="Arial" w:cs="Arial"/>
          <w:color w:val="auto"/>
          <w:spacing w:val="-2"/>
          <w:lang w:eastAsia="ja-JP" w:bidi="fa-IR"/>
        </w:rPr>
        <w:t xml:space="preserve">Ponadto, w trakcie weryfikacji rocznych kartotek wynagrodzeń oraz wniosków premiowych za 2022 r. stwierdzono, że pracownikowi o numerze komputerowym 216 nienależnie wypłacono premię za maj 2022 r. (wypłacona w czerwcu 2022 r.). </w:t>
      </w:r>
      <w:r w:rsidR="00384BC5" w:rsidRPr="00F0151C">
        <w:rPr>
          <w:rFonts w:ascii="Arial" w:eastAsia="Andale Sans UI" w:hAnsi="Arial" w:cs="Arial"/>
          <w:b/>
          <w:bCs/>
          <w:color w:val="auto"/>
          <w:spacing w:val="-2"/>
          <w:lang w:eastAsia="ja-JP" w:bidi="fa-IR"/>
        </w:rPr>
        <w:t xml:space="preserve">Jak wynika z wniosku premiowego przedłożonego do kontroli pracownikowi temu nie przyznano premii za miesiąc maj. Tymczasem wynagrodzenie wypłacone w czerwcu (za maj) obejmowało 20 % premię.  </w:t>
      </w:r>
    </w:p>
    <w:bookmarkEnd w:id="35"/>
    <w:p w14:paraId="30F05D14" w14:textId="5C095C90" w:rsidR="00F71C3F" w:rsidRPr="004F74DE" w:rsidRDefault="00286FFE" w:rsidP="004A7B7D">
      <w:pPr>
        <w:widowControl w:val="0"/>
        <w:tabs>
          <w:tab w:val="left" w:pos="-8505"/>
          <w:tab w:val="left" w:pos="-2127"/>
          <w:tab w:val="left" w:pos="426"/>
        </w:tabs>
        <w:suppressAutoHyphens/>
        <w:spacing w:after="0" w:line="360" w:lineRule="auto"/>
        <w:jc w:val="both"/>
        <w:textAlignment w:val="baseline"/>
        <w:rPr>
          <w:rFonts w:ascii="Arial" w:eastAsia="Times New Roman" w:hAnsi="Arial" w:cs="Arial"/>
          <w:b/>
          <w:bCs/>
          <w:color w:val="auto"/>
          <w:spacing w:val="-4"/>
        </w:rPr>
      </w:pPr>
      <w:r w:rsidRPr="00F0151C">
        <w:rPr>
          <w:rFonts w:ascii="Arial" w:hAnsi="Arial" w:cs="Arial"/>
          <w:bCs/>
          <w:color w:val="auto"/>
        </w:rPr>
        <w:tab/>
      </w:r>
      <w:bookmarkStart w:id="36" w:name="_Hlk147311376"/>
      <w:r w:rsidRPr="004F74DE">
        <w:rPr>
          <w:rFonts w:ascii="Arial" w:hAnsi="Arial" w:cs="Arial"/>
          <w:bCs/>
          <w:color w:val="auto"/>
          <w:spacing w:val="-4"/>
        </w:rPr>
        <w:t>W</w:t>
      </w:r>
      <w:r w:rsidR="00F71C3F" w:rsidRPr="004F74DE">
        <w:rPr>
          <w:rFonts w:ascii="Arial" w:hAnsi="Arial" w:cs="Arial"/>
          <w:bCs/>
          <w:color w:val="auto"/>
          <w:spacing w:val="-4"/>
        </w:rPr>
        <w:t xml:space="preserve">eryfikacja prawidłowości ustalenia wysokości dodatkowego wynagrodzenia rocznego za 2022 r. dla pracowników ROM IV wykazała, że </w:t>
      </w:r>
      <w:r w:rsidR="00F71C3F" w:rsidRPr="004F74DE">
        <w:rPr>
          <w:rFonts w:ascii="Arial" w:eastAsia="Times New Roman" w:hAnsi="Arial" w:cs="Arial"/>
          <w:b/>
          <w:bCs/>
          <w:color w:val="auto"/>
          <w:spacing w:val="-4"/>
        </w:rPr>
        <w:t>nieprawidłowo ustalano wysokość dodatkowego wynagrodzenia rocznego za 2022 r. pracownikom, którzy w trakcie roku korzystali z urlopu okolicznościowego</w:t>
      </w:r>
      <w:r w:rsidR="009D65E2" w:rsidRPr="004F74DE">
        <w:rPr>
          <w:rFonts w:ascii="Arial" w:eastAsia="Times New Roman" w:hAnsi="Arial" w:cs="Arial"/>
          <w:b/>
          <w:bCs/>
          <w:color w:val="auto"/>
          <w:spacing w:val="-4"/>
        </w:rPr>
        <w:t xml:space="preserve"> lub</w:t>
      </w:r>
      <w:r w:rsidR="00F71C3F" w:rsidRPr="004F74DE">
        <w:rPr>
          <w:rFonts w:ascii="Arial" w:eastAsia="Times New Roman" w:hAnsi="Arial" w:cs="Arial"/>
          <w:b/>
          <w:bCs/>
          <w:color w:val="auto"/>
          <w:spacing w:val="-4"/>
        </w:rPr>
        <w:t xml:space="preserve"> opieki nad </w:t>
      </w:r>
      <w:r w:rsidR="009D65E2" w:rsidRPr="004F74DE">
        <w:rPr>
          <w:rFonts w:ascii="Arial" w:eastAsia="Times New Roman" w:hAnsi="Arial" w:cs="Arial"/>
          <w:b/>
          <w:bCs/>
          <w:color w:val="auto"/>
          <w:spacing w:val="-4"/>
        </w:rPr>
        <w:t xml:space="preserve">zdrowym </w:t>
      </w:r>
      <w:r w:rsidR="00F71C3F" w:rsidRPr="004F74DE">
        <w:rPr>
          <w:rFonts w:ascii="Arial" w:eastAsia="Times New Roman" w:hAnsi="Arial" w:cs="Arial"/>
          <w:b/>
          <w:bCs/>
          <w:color w:val="auto"/>
          <w:spacing w:val="-4"/>
        </w:rPr>
        <w:t>dzieckiem, poprzez uwzględnienie w podstawie wyliczenia dodatkowego wynagrodzenia rocznego dodatku za wieloletnią pracę w części związanej z usprawiedliwioną nieobecnością pracownika.</w:t>
      </w:r>
    </w:p>
    <w:bookmarkEnd w:id="36"/>
    <w:p w14:paraId="2BC9FEED" w14:textId="7199F068" w:rsidR="00191DDD" w:rsidRPr="004F74DE" w:rsidRDefault="00F71C3F" w:rsidP="001466C7">
      <w:pPr>
        <w:overflowPunct/>
        <w:spacing w:after="0" w:line="360" w:lineRule="auto"/>
        <w:jc w:val="both"/>
        <w:rPr>
          <w:rFonts w:ascii="Arial" w:eastAsia="Calibri" w:hAnsi="Arial" w:cs="Arial"/>
          <w:b/>
          <w:bCs/>
          <w:color w:val="auto"/>
          <w:spacing w:val="-4"/>
          <w:lang w:eastAsia="en-US"/>
        </w:rPr>
      </w:pPr>
      <w:r w:rsidRPr="004F74DE">
        <w:rPr>
          <w:rFonts w:ascii="Arial" w:eastAsia="Calibri" w:hAnsi="Arial" w:cs="Arial"/>
          <w:color w:val="auto"/>
          <w:spacing w:val="-4"/>
          <w:lang w:eastAsia="en-US"/>
        </w:rPr>
        <w:t>Zgodnie z art. 4 ustawy, wynagrodzenie roczne ustala się w wysokości 8,5 % sumy wynagrodzenia za pracę otrzymanego przez pracownika w ciągu roku kalendarzowego, za który przysługuje to wynagrodzenie, uwzględniając wynagrodzenie i inne świadczenia ze stosunku pracy przyjmowane do obliczenia ekwiwalentu pieniężnego za urlop wypoczynkowy, a także wynagrodzenie za urlop wypoczynkowy oraz wynagrodzenie za czas pozostawania bez pracy przysługujące pracownikowi, który podjął pracę w wyniku przywrócenia do pracy. Przepis ten odwołuje się pośrednio do rozporządzenia Ministra Pracy i Polityki Społecznej w</w:t>
      </w:r>
      <w:r w:rsidR="009D65E2" w:rsidRPr="004F74DE">
        <w:rPr>
          <w:rFonts w:ascii="Arial" w:eastAsia="Calibri" w:hAnsi="Arial" w:cs="Arial"/>
          <w:color w:val="auto"/>
          <w:spacing w:val="-4"/>
          <w:lang w:eastAsia="en-US"/>
        </w:rPr>
        <w:t> </w:t>
      </w:r>
      <w:r w:rsidRPr="004F74DE">
        <w:rPr>
          <w:rFonts w:ascii="Arial" w:eastAsia="Calibri" w:hAnsi="Arial" w:cs="Arial"/>
          <w:color w:val="auto"/>
          <w:spacing w:val="-4"/>
          <w:lang w:eastAsia="en-US"/>
        </w:rPr>
        <w:t xml:space="preserve">sprawie </w:t>
      </w:r>
      <w:r w:rsidRPr="004F74DE">
        <w:rPr>
          <w:rFonts w:ascii="Arial" w:eastAsia="Calibri" w:hAnsi="Arial" w:cs="Arial"/>
          <w:color w:val="auto"/>
          <w:spacing w:val="-4"/>
          <w:lang w:eastAsia="en-US"/>
        </w:rPr>
        <w:lastRenderedPageBreak/>
        <w:t>szczegółowych zasad udzielania urlopu wypoczynkowego, ustalania i wypłacania wynagrodzenia za czas urlopu oraz ekwiwalentu pieniężnego za urlop. Zgodnie z § 6 rozporządzenia, ekwiwalent pieniężny za urlop wypoczynkowy, a także odpowiednio dodatkowe wynagrodzenie roczne, ustala się z uwzględnieniem wynagrodzenia i innych świadczeń ze stosunku pracy, z wyłączeniem określonych w tym przepisie tytułów, w tym wynagrodzenia za czas innej (niż urlop wypoczynkowy) usprawiedliwionej nieobecności w</w:t>
      </w:r>
      <w:r w:rsidR="008F191A" w:rsidRPr="004F74DE">
        <w:rPr>
          <w:rFonts w:ascii="Arial" w:eastAsia="Calibri" w:hAnsi="Arial" w:cs="Arial"/>
          <w:color w:val="auto"/>
          <w:spacing w:val="-4"/>
          <w:lang w:eastAsia="en-US"/>
        </w:rPr>
        <w:t> </w:t>
      </w:r>
      <w:r w:rsidRPr="004F74DE">
        <w:rPr>
          <w:rFonts w:ascii="Arial" w:eastAsia="Calibri" w:hAnsi="Arial" w:cs="Arial"/>
          <w:color w:val="auto"/>
          <w:spacing w:val="-4"/>
          <w:lang w:eastAsia="en-US"/>
        </w:rPr>
        <w:t>pracy. W świetle przepisów ustawy o dodatkowym wynagrodzeniu rocznym dla pracowników jednostek sfery budżetowej nabycie prawa do tzw. trzynastki uzależnione jest od przepracowania całego roku kalendarzowego u danego pracodawcy. Przepisy ustawy nie definiują jednak pojęcia „okres przepracowany”. „Charakter prawny wynagrodzenia rocznego rozważany był wielokrotnie w</w:t>
      </w:r>
      <w:r w:rsidR="004F74DE">
        <w:rPr>
          <w:rFonts w:ascii="Arial" w:eastAsia="Calibri" w:hAnsi="Arial" w:cs="Arial"/>
          <w:color w:val="auto"/>
          <w:spacing w:val="-4"/>
          <w:lang w:eastAsia="en-US"/>
        </w:rPr>
        <w:t> </w:t>
      </w:r>
      <w:r w:rsidRPr="004F74DE">
        <w:rPr>
          <w:rFonts w:ascii="Arial" w:eastAsia="Calibri" w:hAnsi="Arial" w:cs="Arial"/>
          <w:color w:val="auto"/>
          <w:spacing w:val="-4"/>
          <w:lang w:eastAsia="en-US"/>
        </w:rPr>
        <w:t>orzecznictwie. Zgodnie z dominującym w poglądem, „przepracowanie”, o którym mowa w art. 2 ust. 1 ustawy, oznacza faktyczne (efektywne) wykonywanie pracy, a nie tylko pozostawanie w stosunku pracy. W uchwale z dnia 25 lipca 2003 r. Sąd Najwyższy orzekł, iż przy ustalaniu wysokości dodatkowego wynagrodzenia rocznego nie uwzględnia się wynagrodzenia otrzymanego przez pracownika w okresie nieobecności w pracy z powodu choroby. W</w:t>
      </w:r>
      <w:r w:rsidR="004F74DE">
        <w:rPr>
          <w:rFonts w:ascii="Arial" w:eastAsia="Calibri" w:hAnsi="Arial" w:cs="Arial"/>
          <w:color w:val="auto"/>
          <w:spacing w:val="-4"/>
          <w:lang w:eastAsia="en-US"/>
        </w:rPr>
        <w:t> </w:t>
      </w:r>
      <w:r w:rsidRPr="004F74DE">
        <w:rPr>
          <w:rFonts w:ascii="Arial" w:eastAsia="Calibri" w:hAnsi="Arial" w:cs="Arial"/>
          <w:color w:val="auto"/>
          <w:spacing w:val="-4"/>
          <w:lang w:eastAsia="en-US"/>
        </w:rPr>
        <w:t xml:space="preserve">uzasadnieniu SN podkreślił, że czas przepracowany w danym roku kalendarzowym powinien mieć wpływ na wysokość dodatkowego wynagrodzenia rocznego w kontekście jego wymiaru (proporcjonalnego do przepracowanego czasu w roku kalendarzowym), jak również w kontekście podstawy jego ustalenia (poprzez uwzględnienie zasadniczo wynagrodzenia za pracę rzeczywiście wykonaną). Stanowisko Sądu Najwyższego, podziela zarówno Ministerstwo Rozwoju Pracy i Technologii jak i Państwowa Inspekcja Pracy, w opinii których – dodatek za wieloletnią pracę wypłacony za okres choroby nie powinien być wliczany do podstawy ustalania wysokości dodatkowego wynagrodzenia rocznego. </w:t>
      </w:r>
      <w:r w:rsidR="009D65E2" w:rsidRPr="004F74DE">
        <w:rPr>
          <w:rFonts w:ascii="Arial" w:eastAsia="Calibri" w:hAnsi="Arial" w:cs="Arial"/>
          <w:color w:val="auto"/>
          <w:spacing w:val="-4"/>
          <w:lang w:eastAsia="en-US"/>
        </w:rPr>
        <w:t>Biorąc pod uwagę literalne brzmienie stanowiska Ministerstwa Rozwoju, Pracy i Technologii z 15 lutego 2021 r. odnoszącego się do problemu uwzględniania dodatku stażowego w podstawie wynagrodzenia rocznego należy stwierdzić, że mimo, ż</w:t>
      </w:r>
      <w:r w:rsidR="003634FF" w:rsidRPr="004F74DE">
        <w:rPr>
          <w:rFonts w:ascii="Arial" w:eastAsia="Calibri" w:hAnsi="Arial" w:cs="Arial"/>
          <w:color w:val="auto"/>
          <w:spacing w:val="-4"/>
          <w:lang w:eastAsia="en-US"/>
        </w:rPr>
        <w:t xml:space="preserve">e w jego konkluzji odniesiono się jedynie do okresu nieobecności spowodowanej chorobą, to dotyczy ono wszystkich nieobecności pracownika w pracy, w tym m.in. zwolnień od pracy na podstawie art. 37 i 188 ustawy z 26.06.1974 r. Kodeks Pracy, </w:t>
      </w:r>
      <w:r w:rsidR="00CD1879" w:rsidRPr="004F74DE">
        <w:rPr>
          <w:rFonts w:ascii="Arial" w:eastAsia="Calibri" w:hAnsi="Arial" w:cs="Arial"/>
          <w:color w:val="auto"/>
          <w:spacing w:val="-4"/>
          <w:lang w:eastAsia="en-US"/>
        </w:rPr>
        <w:t xml:space="preserve">rozporządzenia Ministra Pracy i Polityki Socjalnej z 15.05.1996 r. w sprawie sposobu usprawiedliwiania nieobecności w pracy oraz udzielania pracownikom zwolnień od pracy (Dz.U. z 2014 r. poz. 1632), nieobecności z powodu konieczności osobistego sprawowania opieki nad dzieckiem lub chorym członkiem rodziny. </w:t>
      </w:r>
      <w:r w:rsidRPr="004F74DE">
        <w:rPr>
          <w:rFonts w:ascii="Arial" w:eastAsia="Calibri" w:hAnsi="Arial" w:cs="Arial"/>
          <w:b/>
          <w:bCs/>
          <w:color w:val="auto"/>
          <w:spacing w:val="-4"/>
          <w:lang w:eastAsia="en-US"/>
        </w:rPr>
        <w:t xml:space="preserve">Skutek finansowy polegający na zawyżeniu dodatkowego wynagrodzenia rocznego </w:t>
      </w:r>
      <w:r w:rsidR="00810873" w:rsidRPr="004F74DE">
        <w:rPr>
          <w:rFonts w:ascii="Arial" w:eastAsia="Calibri" w:hAnsi="Arial" w:cs="Arial"/>
          <w:b/>
          <w:bCs/>
          <w:color w:val="auto"/>
          <w:spacing w:val="-4"/>
          <w:lang w:eastAsia="en-US"/>
        </w:rPr>
        <w:t xml:space="preserve">4 </w:t>
      </w:r>
      <w:r w:rsidRPr="004F74DE">
        <w:rPr>
          <w:rFonts w:ascii="Arial" w:eastAsia="Calibri" w:hAnsi="Arial" w:cs="Arial"/>
          <w:b/>
          <w:bCs/>
          <w:color w:val="auto"/>
          <w:spacing w:val="-4"/>
          <w:lang w:eastAsia="en-US"/>
        </w:rPr>
        <w:t>pracowników</w:t>
      </w:r>
      <w:r w:rsidR="00810873" w:rsidRPr="004F74DE">
        <w:rPr>
          <w:rFonts w:ascii="Arial" w:eastAsia="Calibri" w:hAnsi="Arial" w:cs="Arial"/>
          <w:b/>
          <w:bCs/>
          <w:color w:val="auto"/>
          <w:spacing w:val="-4"/>
          <w:lang w:eastAsia="en-US"/>
        </w:rPr>
        <w:t xml:space="preserve"> na 15</w:t>
      </w:r>
      <w:r w:rsidRPr="004F74DE">
        <w:rPr>
          <w:rFonts w:ascii="Arial" w:eastAsia="Calibri" w:hAnsi="Arial" w:cs="Arial"/>
          <w:b/>
          <w:bCs/>
          <w:color w:val="auto"/>
          <w:spacing w:val="-4"/>
          <w:lang w:eastAsia="en-US"/>
        </w:rPr>
        <w:t xml:space="preserve"> poddanych weryfikacji poprzez uwzględnienie w</w:t>
      </w:r>
      <w:r w:rsidR="00CD1879" w:rsidRPr="004F74DE">
        <w:rPr>
          <w:rFonts w:ascii="Arial" w:eastAsia="Calibri" w:hAnsi="Arial" w:cs="Arial"/>
          <w:b/>
          <w:bCs/>
          <w:color w:val="auto"/>
          <w:spacing w:val="-4"/>
          <w:lang w:eastAsia="en-US"/>
        </w:rPr>
        <w:t> </w:t>
      </w:r>
      <w:r w:rsidRPr="004F74DE">
        <w:rPr>
          <w:rFonts w:ascii="Arial" w:eastAsia="Calibri" w:hAnsi="Arial" w:cs="Arial"/>
          <w:b/>
          <w:bCs/>
          <w:color w:val="auto"/>
          <w:spacing w:val="-4"/>
          <w:lang w:eastAsia="en-US"/>
        </w:rPr>
        <w:t>podstawie dodatkowego wynagrodzenia rocznego za 202</w:t>
      </w:r>
      <w:r w:rsidR="00CD1879" w:rsidRPr="004F74DE">
        <w:rPr>
          <w:rFonts w:ascii="Arial" w:eastAsia="Calibri" w:hAnsi="Arial" w:cs="Arial"/>
          <w:b/>
          <w:bCs/>
          <w:color w:val="auto"/>
          <w:spacing w:val="-4"/>
          <w:lang w:eastAsia="en-US"/>
        </w:rPr>
        <w:t>2</w:t>
      </w:r>
      <w:r w:rsidRPr="004F74DE">
        <w:rPr>
          <w:rFonts w:ascii="Arial" w:eastAsia="Calibri" w:hAnsi="Arial" w:cs="Arial"/>
          <w:b/>
          <w:bCs/>
          <w:color w:val="auto"/>
          <w:spacing w:val="-4"/>
          <w:lang w:eastAsia="en-US"/>
        </w:rPr>
        <w:t xml:space="preserve"> r. dodatku za wieloletnią pracę w część dotyczącej nieprzep</w:t>
      </w:r>
      <w:r w:rsidR="007359F7" w:rsidRPr="004F74DE">
        <w:rPr>
          <w:rFonts w:ascii="Arial" w:eastAsia="Calibri" w:hAnsi="Arial" w:cs="Arial"/>
          <w:b/>
          <w:bCs/>
          <w:color w:val="auto"/>
          <w:spacing w:val="-4"/>
          <w:lang w:eastAsia="en-US"/>
        </w:rPr>
        <w:t>racowanego</w:t>
      </w:r>
      <w:r w:rsidRPr="004F74DE">
        <w:rPr>
          <w:rFonts w:ascii="Arial" w:eastAsia="Calibri" w:hAnsi="Arial" w:cs="Arial"/>
          <w:b/>
          <w:bCs/>
          <w:color w:val="auto"/>
          <w:spacing w:val="-4"/>
          <w:lang w:eastAsia="en-US"/>
        </w:rPr>
        <w:t xml:space="preserve"> okresu wynosi </w:t>
      </w:r>
      <w:r w:rsidR="00CD1879" w:rsidRPr="004F74DE">
        <w:rPr>
          <w:rFonts w:ascii="Arial" w:eastAsia="Calibri" w:hAnsi="Arial" w:cs="Arial"/>
          <w:b/>
          <w:bCs/>
          <w:color w:val="auto"/>
          <w:spacing w:val="-4"/>
          <w:lang w:eastAsia="en-US"/>
        </w:rPr>
        <w:t>łącznie 27,21</w:t>
      </w:r>
      <w:r w:rsidRPr="004F74DE">
        <w:rPr>
          <w:rFonts w:ascii="Arial" w:eastAsia="Calibri" w:hAnsi="Arial" w:cs="Arial"/>
          <w:b/>
          <w:bCs/>
          <w:color w:val="auto"/>
          <w:spacing w:val="-4"/>
          <w:lang w:eastAsia="en-US"/>
        </w:rPr>
        <w:t> zł.</w:t>
      </w:r>
    </w:p>
    <w:p w14:paraId="60BE5920" w14:textId="77777777" w:rsidR="00191DDD" w:rsidRPr="00F0151C" w:rsidRDefault="00191DDD" w:rsidP="00285E7D">
      <w:pPr>
        <w:pStyle w:val="Domylnie"/>
        <w:numPr>
          <w:ilvl w:val="1"/>
          <w:numId w:val="27"/>
        </w:numPr>
        <w:ind w:left="0" w:firstLine="0"/>
        <w:rPr>
          <w:rFonts w:ascii="Arial" w:hAnsi="Arial" w:cs="Arial"/>
          <w:bCs/>
          <w:color w:val="auto"/>
          <w:sz w:val="22"/>
          <w:szCs w:val="22"/>
          <w:lang w:val="pl-PL"/>
        </w:rPr>
      </w:pPr>
      <w:r w:rsidRPr="00F0151C">
        <w:rPr>
          <w:rFonts w:ascii="Arial" w:hAnsi="Arial" w:cs="Arial"/>
          <w:b/>
          <w:bCs/>
          <w:color w:val="auto"/>
          <w:spacing w:val="-2"/>
          <w:sz w:val="22"/>
          <w:szCs w:val="22"/>
          <w:lang w:val="pl-PL"/>
        </w:rPr>
        <w:lastRenderedPageBreak/>
        <w:t>Gospodarowanie środkami publicznymi oraz przestrzeganie ustawy prawo zamówień publicznych.</w:t>
      </w:r>
    </w:p>
    <w:p w14:paraId="016E1717" w14:textId="77777777" w:rsidR="00191DDD" w:rsidRPr="00F0151C" w:rsidRDefault="00191DDD" w:rsidP="007359F7">
      <w:pPr>
        <w:pStyle w:val="Domylnie"/>
        <w:rPr>
          <w:rFonts w:ascii="Arial" w:hAnsi="Arial" w:cs="Arial"/>
          <w:color w:val="auto"/>
          <w:spacing w:val="-2"/>
          <w:sz w:val="22"/>
          <w:szCs w:val="22"/>
          <w:lang w:val="pl-PL"/>
        </w:rPr>
      </w:pPr>
      <w:r w:rsidRPr="00F0151C">
        <w:rPr>
          <w:rFonts w:ascii="Arial" w:hAnsi="Arial" w:cs="Arial"/>
          <w:color w:val="auto"/>
          <w:spacing w:val="-2"/>
          <w:sz w:val="22"/>
          <w:szCs w:val="22"/>
          <w:lang w:val="pl-PL"/>
        </w:rPr>
        <w:tab/>
        <w:t xml:space="preserve">Zakład dopełnił obowiązków w zakresie planowania zamówień publicznych określonych w art. 23 ustawy </w:t>
      </w:r>
      <w:proofErr w:type="spellStart"/>
      <w:r w:rsidRPr="00F0151C">
        <w:rPr>
          <w:rFonts w:ascii="Arial" w:hAnsi="Arial" w:cs="Arial"/>
          <w:color w:val="auto"/>
          <w:spacing w:val="-2"/>
          <w:sz w:val="22"/>
          <w:szCs w:val="22"/>
          <w:lang w:val="pl-PL"/>
        </w:rPr>
        <w:t>Pzp</w:t>
      </w:r>
      <w:proofErr w:type="spellEnd"/>
      <w:r w:rsidRPr="00F0151C">
        <w:rPr>
          <w:rFonts w:ascii="Arial" w:hAnsi="Arial" w:cs="Arial"/>
          <w:color w:val="auto"/>
          <w:spacing w:val="-2"/>
          <w:sz w:val="22"/>
          <w:szCs w:val="22"/>
          <w:lang w:val="pl-PL"/>
        </w:rPr>
        <w:t xml:space="preserve">. </w:t>
      </w:r>
    </w:p>
    <w:p w14:paraId="7778877F" w14:textId="6F06E9BD" w:rsidR="00191DDD" w:rsidRPr="00F0151C" w:rsidRDefault="00191DDD" w:rsidP="007359F7">
      <w:pPr>
        <w:pStyle w:val="Domylnie"/>
        <w:rPr>
          <w:rFonts w:ascii="Arial" w:hAnsi="Arial" w:cs="Arial"/>
          <w:color w:val="auto"/>
          <w:spacing w:val="-2"/>
          <w:sz w:val="22"/>
          <w:szCs w:val="22"/>
          <w:lang w:val="pl-PL"/>
        </w:rPr>
      </w:pPr>
      <w:r w:rsidRPr="00F0151C">
        <w:rPr>
          <w:rFonts w:ascii="Arial" w:hAnsi="Arial" w:cs="Arial"/>
          <w:b/>
          <w:bCs/>
          <w:color w:val="auto"/>
          <w:spacing w:val="-2"/>
          <w:sz w:val="22"/>
          <w:szCs w:val="22"/>
          <w:lang w:val="pl-PL"/>
        </w:rPr>
        <w:tab/>
      </w:r>
      <w:r w:rsidRPr="00F0151C">
        <w:rPr>
          <w:rFonts w:ascii="Arial" w:hAnsi="Arial" w:cs="Arial"/>
          <w:color w:val="auto"/>
          <w:spacing w:val="-2"/>
          <w:sz w:val="22"/>
          <w:szCs w:val="22"/>
          <w:lang w:val="pl-PL"/>
        </w:rPr>
        <w:t xml:space="preserve">Weryfikacji poddano ponoszenie wydatków w świetle ustawy </w:t>
      </w:r>
      <w:proofErr w:type="spellStart"/>
      <w:r w:rsidRPr="00F0151C">
        <w:rPr>
          <w:rFonts w:ascii="Arial" w:hAnsi="Arial" w:cs="Arial"/>
          <w:color w:val="auto"/>
          <w:spacing w:val="-2"/>
          <w:sz w:val="22"/>
          <w:szCs w:val="22"/>
          <w:lang w:val="pl-PL"/>
        </w:rPr>
        <w:t>Pzp</w:t>
      </w:r>
      <w:proofErr w:type="spellEnd"/>
      <w:r w:rsidRPr="00F0151C">
        <w:rPr>
          <w:rFonts w:ascii="Arial" w:hAnsi="Arial" w:cs="Arial"/>
          <w:color w:val="auto"/>
          <w:spacing w:val="-2"/>
          <w:sz w:val="22"/>
          <w:szCs w:val="22"/>
          <w:lang w:val="pl-PL"/>
        </w:rPr>
        <w:t xml:space="preserve"> i art. 44 ust. 3 ustawy o finansach publicznych. Narzędziem wspomagającym Dyrektora w realizacji wymogów ww. postanowień winny być wewnętrzne uregulowania traktujące o sposobie ponoszenia wydatków w jednostce. W kontrolowan</w:t>
      </w:r>
      <w:r w:rsidR="007359F7" w:rsidRPr="00F0151C">
        <w:rPr>
          <w:rFonts w:ascii="Arial" w:hAnsi="Arial" w:cs="Arial"/>
          <w:color w:val="auto"/>
          <w:spacing w:val="-2"/>
          <w:sz w:val="22"/>
          <w:szCs w:val="22"/>
          <w:lang w:val="pl-PL"/>
        </w:rPr>
        <w:t>ym zakładzie</w:t>
      </w:r>
      <w:r w:rsidRPr="00F0151C">
        <w:rPr>
          <w:rFonts w:ascii="Arial" w:hAnsi="Arial" w:cs="Arial"/>
          <w:color w:val="auto"/>
          <w:spacing w:val="-2"/>
          <w:sz w:val="22"/>
          <w:szCs w:val="22"/>
          <w:lang w:val="pl-PL"/>
        </w:rPr>
        <w:t xml:space="preserve"> Dyrektor </w:t>
      </w:r>
      <w:bookmarkStart w:id="37" w:name="_Hlk147228467"/>
      <w:r w:rsidRPr="00F0151C">
        <w:rPr>
          <w:rFonts w:ascii="Arial" w:hAnsi="Arial" w:cs="Arial"/>
          <w:color w:val="auto"/>
          <w:spacing w:val="-2"/>
          <w:sz w:val="22"/>
          <w:szCs w:val="22"/>
          <w:lang w:val="pl-PL"/>
        </w:rPr>
        <w:t>zarządzeniem nr 0152/16/02/21 z</w:t>
      </w:r>
      <w:r w:rsidR="008F191A" w:rsidRPr="00F0151C">
        <w:rPr>
          <w:rFonts w:ascii="Arial" w:hAnsi="Arial" w:cs="Arial"/>
          <w:color w:val="auto"/>
          <w:spacing w:val="-2"/>
          <w:sz w:val="22"/>
          <w:szCs w:val="22"/>
          <w:lang w:val="pl-PL"/>
        </w:rPr>
        <w:t> </w:t>
      </w:r>
      <w:r w:rsidRPr="00F0151C">
        <w:rPr>
          <w:rFonts w:ascii="Arial" w:hAnsi="Arial" w:cs="Arial"/>
          <w:color w:val="auto"/>
          <w:spacing w:val="-2"/>
          <w:sz w:val="22"/>
          <w:szCs w:val="22"/>
          <w:lang w:val="pl-PL"/>
        </w:rPr>
        <w:t xml:space="preserve">1.02.2021 </w:t>
      </w:r>
      <w:bookmarkEnd w:id="37"/>
      <w:r w:rsidRPr="00F0151C">
        <w:rPr>
          <w:rFonts w:ascii="Arial" w:hAnsi="Arial" w:cs="Arial"/>
          <w:color w:val="auto"/>
          <w:spacing w:val="-2"/>
          <w:sz w:val="22"/>
          <w:szCs w:val="22"/>
          <w:lang w:val="pl-PL"/>
        </w:rPr>
        <w:t>r. wprowadził Instrukcję Ramową Zamówień w MZBM w Tychach dotyczącą trybu postępowania przy udzielaniu zamówień na roboty budowlane, dostawy i usługi zmienioną kolejnymi siedmioma aneksami. Zgodnie z Instrukcją podstawowymi trybami udzielenia zamówienia są:</w:t>
      </w:r>
    </w:p>
    <w:p w14:paraId="65F3118A"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dla zamówień krajowych - tryb podstawowy – zamówienia od 130 000 zł do zamówień poniżej progów unijnych,</w:t>
      </w:r>
    </w:p>
    <w:p w14:paraId="38F4D0FF"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dla zamówień powyżej progów unijnych, tj. wyrażonej w PLN równowartości kwoty 138 000 euro dla dostaw lub usług i 5 350 000 euro dla robót budowlanych - przetarg nieograniczony.</w:t>
      </w:r>
    </w:p>
    <w:p w14:paraId="230295C3" w14:textId="77777777" w:rsidR="00191DDD" w:rsidRPr="00F0151C" w:rsidRDefault="00191DDD" w:rsidP="007359F7">
      <w:pPr>
        <w:pStyle w:val="Domylnie"/>
        <w:ind w:firstLine="410"/>
        <w:rPr>
          <w:rFonts w:ascii="Arial" w:hAnsi="Arial" w:cs="Arial"/>
          <w:color w:val="auto"/>
          <w:spacing w:val="-2"/>
          <w:sz w:val="22"/>
          <w:szCs w:val="22"/>
          <w:lang w:val="pl-PL"/>
        </w:rPr>
      </w:pPr>
      <w:r w:rsidRPr="00F0151C">
        <w:rPr>
          <w:rFonts w:ascii="Arial" w:hAnsi="Arial" w:cs="Arial"/>
          <w:b/>
          <w:bCs/>
          <w:color w:val="auto"/>
          <w:spacing w:val="-2"/>
          <w:sz w:val="22"/>
          <w:szCs w:val="22"/>
          <w:lang w:val="pl-PL"/>
        </w:rPr>
        <w:t xml:space="preserve"> </w:t>
      </w:r>
      <w:r w:rsidRPr="00F0151C">
        <w:rPr>
          <w:rFonts w:ascii="Arial" w:hAnsi="Arial" w:cs="Arial"/>
          <w:color w:val="auto"/>
          <w:spacing w:val="-2"/>
          <w:sz w:val="22"/>
          <w:szCs w:val="22"/>
          <w:lang w:val="pl-PL"/>
        </w:rPr>
        <w:t xml:space="preserve">Zamówienia w trybie negocjacji z ogłoszeniem, dialogu konkurencyjnego, negocjacji bez ogłoszenia, zamówienia z wolnej ręki, partnerstwa innowacyjnego można udzielić tylko </w:t>
      </w:r>
      <w:r w:rsidRPr="00F0151C">
        <w:rPr>
          <w:rFonts w:ascii="Arial" w:hAnsi="Arial" w:cs="Arial"/>
          <w:color w:val="auto"/>
          <w:spacing w:val="-2"/>
          <w:sz w:val="22"/>
          <w:szCs w:val="22"/>
          <w:lang w:val="pl-PL"/>
        </w:rPr>
        <w:br/>
        <w:t>w przypadkach określonych w ustawie.</w:t>
      </w:r>
    </w:p>
    <w:p w14:paraId="35382C7D" w14:textId="77777777" w:rsidR="00191DDD" w:rsidRPr="00F0151C" w:rsidRDefault="00191DDD" w:rsidP="00191DDD">
      <w:pPr>
        <w:pStyle w:val="Domylnie"/>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Realizacja zamówień, których wartość wynosi poniżej 130 000 zł, odbywa się w ramach poszczególnych komórek organizacyjnych z pominięciem procedur ustawowych, a wybór wykonawcy prowadzony jest bez udziału komisji przetargowej.</w:t>
      </w:r>
      <w:r w:rsidRPr="00F0151C">
        <w:rPr>
          <w:rFonts w:ascii="Arial" w:hAnsi="Arial" w:cs="Arial"/>
          <w:b/>
          <w:bCs/>
          <w:color w:val="auto"/>
          <w:spacing w:val="-2"/>
          <w:sz w:val="22"/>
          <w:szCs w:val="22"/>
          <w:lang w:val="pl-PL"/>
        </w:rPr>
        <w:tab/>
      </w:r>
      <w:r w:rsidRPr="00F0151C">
        <w:rPr>
          <w:rFonts w:ascii="Arial" w:hAnsi="Arial" w:cs="Arial"/>
          <w:color w:val="auto"/>
          <w:spacing w:val="-2"/>
          <w:sz w:val="22"/>
          <w:szCs w:val="22"/>
          <w:lang w:val="pl-PL"/>
        </w:rPr>
        <w:t xml:space="preserve"> </w:t>
      </w:r>
    </w:p>
    <w:p w14:paraId="470F784C" w14:textId="085883E1" w:rsidR="00191DDD" w:rsidRPr="00F0151C" w:rsidRDefault="00191DDD" w:rsidP="007359F7">
      <w:pPr>
        <w:pStyle w:val="Domylnie"/>
        <w:ind w:firstLine="410"/>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Zgodnie z rejestrem zamówień publicznych w 2022 r. </w:t>
      </w:r>
      <w:r w:rsidR="00FC488A">
        <w:rPr>
          <w:rFonts w:ascii="Arial" w:hAnsi="Arial" w:cs="Arial"/>
          <w:color w:val="auto"/>
          <w:spacing w:val="-2"/>
          <w:sz w:val="22"/>
          <w:szCs w:val="22"/>
          <w:lang w:val="pl-PL"/>
        </w:rPr>
        <w:t xml:space="preserve">przeprowadzono zamówienia </w:t>
      </w:r>
      <w:r w:rsidRPr="00F0151C">
        <w:rPr>
          <w:rFonts w:ascii="Arial" w:hAnsi="Arial" w:cs="Arial"/>
          <w:color w:val="auto"/>
          <w:spacing w:val="-2"/>
          <w:sz w:val="22"/>
          <w:szCs w:val="22"/>
          <w:lang w:val="pl-PL"/>
        </w:rPr>
        <w:t xml:space="preserve"> w oparciu o ustawę </w:t>
      </w:r>
      <w:proofErr w:type="spellStart"/>
      <w:r w:rsidRPr="00F0151C">
        <w:rPr>
          <w:rFonts w:ascii="Arial" w:hAnsi="Arial" w:cs="Arial"/>
          <w:color w:val="auto"/>
          <w:spacing w:val="-2"/>
          <w:sz w:val="22"/>
          <w:szCs w:val="22"/>
          <w:lang w:val="pl-PL"/>
        </w:rPr>
        <w:t>Pzp</w:t>
      </w:r>
      <w:proofErr w:type="spellEnd"/>
      <w:r w:rsidRPr="00F0151C">
        <w:rPr>
          <w:rFonts w:ascii="Arial" w:hAnsi="Arial" w:cs="Arial"/>
          <w:color w:val="auto"/>
          <w:spacing w:val="-2"/>
          <w:sz w:val="22"/>
          <w:szCs w:val="22"/>
          <w:lang w:val="pl-PL"/>
        </w:rPr>
        <w:t xml:space="preserve"> na:</w:t>
      </w:r>
    </w:p>
    <w:p w14:paraId="3786E0FD" w14:textId="75A2A72D"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remonty </w:t>
      </w:r>
      <w:proofErr w:type="spellStart"/>
      <w:r w:rsidRPr="00F0151C">
        <w:rPr>
          <w:rFonts w:ascii="Arial" w:hAnsi="Arial" w:cs="Arial"/>
          <w:color w:val="auto"/>
          <w:spacing w:val="-2"/>
          <w:sz w:val="22"/>
          <w:szCs w:val="22"/>
          <w:lang w:val="pl-PL"/>
        </w:rPr>
        <w:t>wolnostanów</w:t>
      </w:r>
      <w:proofErr w:type="spellEnd"/>
      <w:r w:rsidRPr="00F0151C">
        <w:rPr>
          <w:rFonts w:ascii="Arial" w:hAnsi="Arial" w:cs="Arial"/>
          <w:color w:val="auto"/>
          <w:spacing w:val="-2"/>
          <w:sz w:val="22"/>
          <w:szCs w:val="22"/>
          <w:lang w:val="pl-PL"/>
        </w:rPr>
        <w:t xml:space="preserve"> na łączn</w:t>
      </w:r>
      <w:r w:rsidR="00631F6B" w:rsidRPr="00F0151C">
        <w:rPr>
          <w:rFonts w:ascii="Arial" w:hAnsi="Arial" w:cs="Arial"/>
          <w:color w:val="auto"/>
          <w:spacing w:val="-2"/>
          <w:sz w:val="22"/>
          <w:szCs w:val="22"/>
          <w:lang w:val="pl-PL"/>
        </w:rPr>
        <w:t>ą</w:t>
      </w:r>
      <w:r w:rsidRPr="00F0151C">
        <w:rPr>
          <w:rFonts w:ascii="Arial" w:hAnsi="Arial" w:cs="Arial"/>
          <w:color w:val="auto"/>
          <w:spacing w:val="-2"/>
          <w:sz w:val="22"/>
          <w:szCs w:val="22"/>
          <w:lang w:val="pl-PL"/>
        </w:rPr>
        <w:t xml:space="preserve"> kwotę 3 917 057,46 zł,</w:t>
      </w:r>
    </w:p>
    <w:p w14:paraId="4C721A88"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zagospodarowanie terenu na łączna kwotę 1 909 339,09 zł,</w:t>
      </w:r>
    </w:p>
    <w:p w14:paraId="5070BE54" w14:textId="6854710E"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wiaty śmietnikowe </w:t>
      </w:r>
      <w:bookmarkStart w:id="38" w:name="_Hlk145575377"/>
      <w:r w:rsidRPr="00F0151C">
        <w:rPr>
          <w:rFonts w:ascii="Arial" w:hAnsi="Arial" w:cs="Arial"/>
          <w:color w:val="auto"/>
          <w:spacing w:val="-2"/>
          <w:sz w:val="22"/>
          <w:szCs w:val="22"/>
          <w:lang w:val="pl-PL"/>
        </w:rPr>
        <w:t>na łączn</w:t>
      </w:r>
      <w:r w:rsidR="00631F6B" w:rsidRPr="00F0151C">
        <w:rPr>
          <w:rFonts w:ascii="Arial" w:hAnsi="Arial" w:cs="Arial"/>
          <w:color w:val="auto"/>
          <w:spacing w:val="-2"/>
          <w:sz w:val="22"/>
          <w:szCs w:val="22"/>
          <w:lang w:val="pl-PL"/>
        </w:rPr>
        <w:t>ą</w:t>
      </w:r>
      <w:r w:rsidRPr="00F0151C">
        <w:rPr>
          <w:rFonts w:ascii="Arial" w:hAnsi="Arial" w:cs="Arial"/>
          <w:color w:val="auto"/>
          <w:spacing w:val="-2"/>
          <w:sz w:val="22"/>
          <w:szCs w:val="22"/>
          <w:lang w:val="pl-PL"/>
        </w:rPr>
        <w:t xml:space="preserve"> kwotę </w:t>
      </w:r>
      <w:bookmarkEnd w:id="38"/>
      <w:r w:rsidRPr="00F0151C">
        <w:rPr>
          <w:rFonts w:ascii="Arial" w:hAnsi="Arial" w:cs="Arial"/>
          <w:color w:val="auto"/>
          <w:spacing w:val="-2"/>
          <w:sz w:val="22"/>
          <w:szCs w:val="22"/>
          <w:lang w:val="pl-PL"/>
        </w:rPr>
        <w:t>184 377 zł,</w:t>
      </w:r>
    </w:p>
    <w:p w14:paraId="10427E13"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zagospodarowanie podwórka na łączna kwotę 238 658,80 zł, </w:t>
      </w:r>
    </w:p>
    <w:p w14:paraId="61EB6568"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remont boiska na kwotę 52 094,05 zł,</w:t>
      </w:r>
    </w:p>
    <w:p w14:paraId="1E9E4410"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utrzymanie czystości  w budynkach usługowych  na kwotę 1 069 965,21 zł, </w:t>
      </w:r>
    </w:p>
    <w:p w14:paraId="38A5E843"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opracowanie projektu budowy placu zabaw na kwotę 4 290 zł,</w:t>
      </w:r>
    </w:p>
    <w:p w14:paraId="4FCC32FF"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remont dróg wjazdowych 176 228,25 zł, </w:t>
      </w:r>
    </w:p>
    <w:p w14:paraId="67CD469D" w14:textId="5369AC43"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utrzymanie terenów zewnętrznych i budynków stanowiących własność Gminy Miasta Tychy, administrowanych lub utrzymywanych przez Miejski Zarząd Budynków </w:t>
      </w:r>
      <w:r w:rsidRPr="00F0151C">
        <w:rPr>
          <w:rFonts w:ascii="Arial" w:hAnsi="Arial" w:cs="Arial"/>
          <w:color w:val="auto"/>
          <w:spacing w:val="-2"/>
          <w:sz w:val="22"/>
          <w:szCs w:val="22"/>
          <w:lang w:val="pl-PL"/>
        </w:rPr>
        <w:lastRenderedPageBreak/>
        <w:t>Mieszkalnych w Tychach na łączn</w:t>
      </w:r>
      <w:r w:rsidR="00631F6B" w:rsidRPr="00F0151C">
        <w:rPr>
          <w:rFonts w:ascii="Arial" w:hAnsi="Arial" w:cs="Arial"/>
          <w:color w:val="auto"/>
          <w:spacing w:val="-2"/>
          <w:sz w:val="22"/>
          <w:szCs w:val="22"/>
          <w:lang w:val="pl-PL"/>
        </w:rPr>
        <w:t xml:space="preserve">ą </w:t>
      </w:r>
      <w:r w:rsidRPr="00F0151C">
        <w:rPr>
          <w:rFonts w:ascii="Arial" w:hAnsi="Arial" w:cs="Arial"/>
          <w:color w:val="auto"/>
          <w:spacing w:val="-2"/>
          <w:sz w:val="22"/>
          <w:szCs w:val="22"/>
          <w:lang w:val="pl-PL"/>
        </w:rPr>
        <w:t>kwotę 4 883 198,35 zł,</w:t>
      </w:r>
    </w:p>
    <w:p w14:paraId="491AD70B"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wewnętrzną instalację oświetlenia awaryjnego na kwotę 70 728,22 zł, </w:t>
      </w:r>
    </w:p>
    <w:p w14:paraId="25B88AF4"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remont pomieszczeń na kwotę 117 868,31 zł, </w:t>
      </w:r>
    </w:p>
    <w:p w14:paraId="33B770D5"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remont instalacji elektrycznej na kwotę 38 602,79 zł,</w:t>
      </w:r>
    </w:p>
    <w:p w14:paraId="1F706C14"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remont chodnika na kwotę 34 423,16 zł,</w:t>
      </w:r>
    </w:p>
    <w:p w14:paraId="36EF06CB"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termomodernizację na kwotę 1 299 512,60 zł,</w:t>
      </w:r>
    </w:p>
    <w:p w14:paraId="0AE4772F"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montaż włączników przeciwpożarowych na kwotę 13 521,79 zł, </w:t>
      </w:r>
    </w:p>
    <w:p w14:paraId="79BD0CF4"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wymianę stolarki okiennej na łączną kwotę 87 489,79 zł,</w:t>
      </w:r>
    </w:p>
    <w:p w14:paraId="64A6E666"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nasadzenia na kwotę 124 610,50 zł,</w:t>
      </w:r>
    </w:p>
    <w:p w14:paraId="71E1B756"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budowa placu zabaw na kwotę  67 204,72 zł,</w:t>
      </w:r>
    </w:p>
    <w:p w14:paraId="7B4347BD"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wykonanie wewnętrznej instalacji wodnej przeciwpożarowej na kwotę 74 333,67 zł,</w:t>
      </w:r>
    </w:p>
    <w:p w14:paraId="5F241445"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instalację gazową na kwotę 121 578,07 zł,</w:t>
      </w:r>
    </w:p>
    <w:p w14:paraId="062A8997"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naprawę oświetlenia piwnic na kwotę 4 548,10 zł,</w:t>
      </w:r>
    </w:p>
    <w:p w14:paraId="28ED1643" w14:textId="443BC1A9"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wymianę stolarki drzwiowej na łączn</w:t>
      </w:r>
      <w:r w:rsidR="009321CB" w:rsidRPr="00F0151C">
        <w:rPr>
          <w:rFonts w:ascii="Arial" w:hAnsi="Arial" w:cs="Arial"/>
          <w:color w:val="auto"/>
          <w:spacing w:val="-2"/>
          <w:sz w:val="22"/>
          <w:szCs w:val="22"/>
          <w:lang w:val="pl-PL"/>
        </w:rPr>
        <w:t>ą</w:t>
      </w:r>
      <w:r w:rsidRPr="00F0151C">
        <w:rPr>
          <w:rFonts w:ascii="Arial" w:hAnsi="Arial" w:cs="Arial"/>
          <w:color w:val="auto"/>
          <w:spacing w:val="-2"/>
          <w:sz w:val="22"/>
          <w:szCs w:val="22"/>
          <w:lang w:val="pl-PL"/>
        </w:rPr>
        <w:t xml:space="preserve"> kwotę 67 744,59 zł,</w:t>
      </w:r>
    </w:p>
    <w:p w14:paraId="2A7BC8DB"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opracowanie projektu budowy świetlika na kwotę 21 410 zł,</w:t>
      </w:r>
    </w:p>
    <w:p w14:paraId="69D53C18"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zmianę sposobu użytkowania na łączną kwotę 433 748,82 zł, </w:t>
      </w:r>
    </w:p>
    <w:p w14:paraId="346F49F3"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okładziny </w:t>
      </w:r>
      <w:proofErr w:type="spellStart"/>
      <w:r w:rsidRPr="00F0151C">
        <w:rPr>
          <w:rFonts w:ascii="Arial" w:hAnsi="Arial" w:cs="Arial"/>
          <w:color w:val="auto"/>
          <w:spacing w:val="-2"/>
          <w:sz w:val="22"/>
          <w:szCs w:val="22"/>
          <w:lang w:val="pl-PL"/>
        </w:rPr>
        <w:t>gresowe</w:t>
      </w:r>
      <w:proofErr w:type="spellEnd"/>
      <w:r w:rsidRPr="00F0151C">
        <w:rPr>
          <w:rFonts w:ascii="Arial" w:hAnsi="Arial" w:cs="Arial"/>
          <w:color w:val="auto"/>
          <w:spacing w:val="-2"/>
          <w:sz w:val="22"/>
          <w:szCs w:val="22"/>
          <w:lang w:val="pl-PL"/>
        </w:rPr>
        <w:t xml:space="preserve"> na kwotę 15 920 zł, </w:t>
      </w:r>
    </w:p>
    <w:p w14:paraId="2C74B1F7" w14:textId="77777777" w:rsidR="00191DDD" w:rsidRPr="00F0151C" w:rsidRDefault="00191DDD" w:rsidP="00326634">
      <w:pPr>
        <w:pStyle w:val="Domylnie"/>
        <w:numPr>
          <w:ilvl w:val="0"/>
          <w:numId w:val="54"/>
        </w:numPr>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termomodernizację Teatru Małego i Domu Kultury na kwotę 25 614 319,65 zł,</w:t>
      </w:r>
    </w:p>
    <w:p w14:paraId="13DC1D89" w14:textId="5362A1F3" w:rsidR="00191DDD" w:rsidRPr="00F0151C" w:rsidRDefault="00191DDD" w:rsidP="00326634">
      <w:pPr>
        <w:pStyle w:val="Domylnie"/>
        <w:numPr>
          <w:ilvl w:val="0"/>
          <w:numId w:val="54"/>
        </w:numPr>
        <w:tabs>
          <w:tab w:val="left" w:pos="284"/>
        </w:tabs>
        <w:rPr>
          <w:rFonts w:ascii="Arial" w:hAnsi="Arial" w:cs="Arial"/>
          <w:color w:val="auto"/>
          <w:sz w:val="22"/>
          <w:szCs w:val="22"/>
          <w:lang w:val="pl-PL"/>
        </w:rPr>
      </w:pPr>
      <w:r w:rsidRPr="00F0151C">
        <w:rPr>
          <w:rFonts w:ascii="Arial" w:hAnsi="Arial" w:cs="Arial"/>
          <w:color w:val="auto"/>
          <w:sz w:val="22"/>
          <w:szCs w:val="22"/>
          <w:lang w:val="pl-PL"/>
        </w:rPr>
        <w:t xml:space="preserve">bieżącą konserwację i czynności całodobowego pogotowia technicznego oraz wykonania napraw i robót budowlanych wraz z utrzymaniem całodobowego ruchu cieplnego w kotłowniach w obrębie nieruchomości gminy, administrowanych przez MZBM w Tychach na kwotę </w:t>
      </w:r>
      <w:r w:rsidRPr="00F0151C">
        <w:rPr>
          <w:rFonts w:ascii="Arial" w:hAnsi="Arial" w:cs="Arial"/>
          <w:color w:val="auto"/>
          <w:spacing w:val="-2"/>
          <w:sz w:val="22"/>
          <w:szCs w:val="22"/>
          <w:lang w:val="pl-PL"/>
        </w:rPr>
        <w:t xml:space="preserve">1 598 808,87 zł, </w:t>
      </w:r>
    </w:p>
    <w:p w14:paraId="7E65CB36" w14:textId="77777777" w:rsidR="00191DDD" w:rsidRPr="00F0151C" w:rsidRDefault="00191DDD" w:rsidP="00326634">
      <w:pPr>
        <w:pStyle w:val="Domylnie"/>
        <w:numPr>
          <w:ilvl w:val="0"/>
          <w:numId w:val="54"/>
        </w:numPr>
        <w:tabs>
          <w:tab w:val="left" w:pos="284"/>
        </w:tabs>
        <w:rPr>
          <w:rFonts w:ascii="Arial" w:hAnsi="Arial" w:cs="Arial"/>
          <w:color w:val="auto"/>
          <w:sz w:val="22"/>
          <w:szCs w:val="22"/>
          <w:lang w:val="pl-PL"/>
        </w:rPr>
      </w:pPr>
      <w:r w:rsidRPr="00F0151C">
        <w:rPr>
          <w:rFonts w:ascii="Arial" w:hAnsi="Arial" w:cs="Arial"/>
          <w:color w:val="auto"/>
          <w:spacing w:val="-2"/>
          <w:sz w:val="22"/>
          <w:szCs w:val="22"/>
          <w:lang w:val="pl-PL"/>
        </w:rPr>
        <w:t>stałą organizacje ruchu na kwotę 22 861,04 zł,</w:t>
      </w:r>
    </w:p>
    <w:p w14:paraId="2231CA89" w14:textId="77777777" w:rsidR="00191DDD" w:rsidRPr="00F0151C" w:rsidRDefault="00191DDD" w:rsidP="00326634">
      <w:pPr>
        <w:pStyle w:val="Domylnie"/>
        <w:numPr>
          <w:ilvl w:val="0"/>
          <w:numId w:val="54"/>
        </w:numPr>
        <w:tabs>
          <w:tab w:val="left" w:pos="284"/>
        </w:tabs>
        <w:rPr>
          <w:rFonts w:ascii="Arial" w:hAnsi="Arial" w:cs="Arial"/>
          <w:color w:val="auto"/>
          <w:sz w:val="22"/>
          <w:szCs w:val="22"/>
          <w:lang w:val="pl-PL"/>
        </w:rPr>
      </w:pPr>
      <w:r w:rsidRPr="00F0151C">
        <w:rPr>
          <w:rFonts w:ascii="Arial" w:hAnsi="Arial" w:cs="Arial"/>
          <w:color w:val="auto"/>
          <w:spacing w:val="-2"/>
          <w:sz w:val="22"/>
          <w:szCs w:val="22"/>
          <w:lang w:val="pl-PL"/>
        </w:rPr>
        <w:t>ochronę MZBM na łączna kwotę 869 629,68 zł</w:t>
      </w:r>
    </w:p>
    <w:p w14:paraId="112336FD" w14:textId="2A82C73F" w:rsidR="004A7B7D" w:rsidRPr="004F74DE" w:rsidRDefault="00191DDD" w:rsidP="004F74DE">
      <w:pPr>
        <w:pStyle w:val="Domylnie"/>
        <w:numPr>
          <w:ilvl w:val="0"/>
          <w:numId w:val="54"/>
        </w:numPr>
        <w:tabs>
          <w:tab w:val="left" w:pos="284"/>
        </w:tabs>
        <w:rPr>
          <w:rFonts w:ascii="Arial" w:hAnsi="Arial" w:cs="Arial"/>
          <w:color w:val="auto"/>
          <w:sz w:val="22"/>
          <w:szCs w:val="22"/>
          <w:lang w:val="pl-PL"/>
        </w:rPr>
      </w:pPr>
      <w:r w:rsidRPr="00F0151C">
        <w:rPr>
          <w:rFonts w:ascii="Arial" w:hAnsi="Arial" w:cs="Arial"/>
          <w:color w:val="auto"/>
          <w:spacing w:val="-2"/>
          <w:sz w:val="22"/>
          <w:szCs w:val="22"/>
          <w:lang w:val="pl-PL"/>
        </w:rPr>
        <w:t>dzierżawę urządzeń wielofunkcyjnych na kwotę 518 814 zł.</w:t>
      </w:r>
    </w:p>
    <w:p w14:paraId="24365C04" w14:textId="39A8ADDB" w:rsidR="004F74DE" w:rsidRPr="004F74DE" w:rsidRDefault="00191DDD" w:rsidP="00191DDD">
      <w:pPr>
        <w:pStyle w:val="Domylnie"/>
        <w:tabs>
          <w:tab w:val="left" w:pos="284"/>
        </w:tabs>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Wskazane zamówienia zostały udzielone w większości w trybie podstawowym bez negocjacji, kilka zamówień w drodze przetargu nieograniczonego oraz z wolnej ręki po nierozstrzygniętych postępowaniach ww. trybach. </w:t>
      </w:r>
    </w:p>
    <w:p w14:paraId="752AD92A" w14:textId="7E0089CC" w:rsidR="004A7B7D" w:rsidRPr="00F0151C" w:rsidRDefault="00191DDD" w:rsidP="00191DDD">
      <w:pPr>
        <w:pStyle w:val="Domylnie"/>
        <w:tabs>
          <w:tab w:val="left" w:pos="284"/>
        </w:tabs>
        <w:rPr>
          <w:rFonts w:ascii="Arial" w:hAnsi="Arial" w:cs="Arial"/>
          <w:color w:val="auto"/>
          <w:sz w:val="22"/>
          <w:szCs w:val="22"/>
          <w:lang w:val="pl-PL"/>
        </w:rPr>
      </w:pPr>
      <w:r w:rsidRPr="00F0151C">
        <w:rPr>
          <w:rFonts w:ascii="Arial" w:hAnsi="Arial" w:cs="Arial"/>
          <w:b/>
          <w:bCs/>
          <w:color w:val="auto"/>
          <w:sz w:val="22"/>
          <w:szCs w:val="22"/>
          <w:lang w:val="pl-PL"/>
        </w:rPr>
        <w:t>Weryfikacji poddano udzielone zamówienia publiczne dotyczące 2022 r. w zakresie</w:t>
      </w:r>
      <w:r w:rsidRPr="00F0151C">
        <w:rPr>
          <w:rFonts w:ascii="Arial" w:hAnsi="Arial" w:cs="Arial"/>
          <w:color w:val="auto"/>
          <w:sz w:val="22"/>
          <w:szCs w:val="22"/>
          <w:lang w:val="pl-PL"/>
        </w:rPr>
        <w:t>:</w:t>
      </w:r>
    </w:p>
    <w:p w14:paraId="4FFB4592" w14:textId="061FCF7E" w:rsidR="00191DDD" w:rsidRPr="00F0151C" w:rsidRDefault="00191DDD" w:rsidP="00375412">
      <w:pPr>
        <w:pStyle w:val="Domylnie"/>
        <w:rPr>
          <w:rFonts w:ascii="Arial" w:hAnsi="Arial" w:cs="Arial"/>
          <w:color w:val="auto"/>
          <w:sz w:val="22"/>
          <w:szCs w:val="22"/>
          <w:u w:val="single"/>
          <w:lang w:val="pl-PL"/>
        </w:rPr>
      </w:pPr>
      <w:bookmarkStart w:id="39" w:name="_Hlk145508524"/>
      <w:r w:rsidRPr="00F0151C">
        <w:rPr>
          <w:rFonts w:ascii="Arial" w:hAnsi="Arial" w:cs="Arial"/>
          <w:color w:val="auto"/>
          <w:sz w:val="22"/>
          <w:szCs w:val="22"/>
          <w:u w:val="single"/>
          <w:lang w:val="pl-PL"/>
        </w:rPr>
        <w:t xml:space="preserve">Świadczenia usług w </w:t>
      </w:r>
      <w:bookmarkStart w:id="40" w:name="_Hlk145577511"/>
      <w:r w:rsidRPr="00F0151C">
        <w:rPr>
          <w:rFonts w:ascii="Arial" w:hAnsi="Arial" w:cs="Arial"/>
          <w:color w:val="auto"/>
          <w:sz w:val="22"/>
          <w:szCs w:val="22"/>
          <w:u w:val="single"/>
          <w:lang w:val="pl-PL"/>
        </w:rPr>
        <w:t>zakresie bieżącej konserwacji i czynności całodobowego pogotow</w:t>
      </w:r>
      <w:r w:rsidR="007D3016" w:rsidRPr="00F0151C">
        <w:rPr>
          <w:rFonts w:ascii="Arial" w:hAnsi="Arial" w:cs="Arial"/>
          <w:color w:val="auto"/>
          <w:sz w:val="22"/>
          <w:szCs w:val="22"/>
          <w:u w:val="single"/>
          <w:lang w:val="pl-PL"/>
        </w:rPr>
        <w:t>ia</w:t>
      </w:r>
      <w:r w:rsidRPr="00F0151C">
        <w:rPr>
          <w:rFonts w:ascii="Arial" w:hAnsi="Arial" w:cs="Arial"/>
          <w:color w:val="auto"/>
          <w:sz w:val="22"/>
          <w:szCs w:val="22"/>
          <w:u w:val="single"/>
          <w:lang w:val="pl-PL"/>
        </w:rPr>
        <w:t xml:space="preserve"> technicznego oraz wykonania napraw i robót budowlanych wraz z utrzymaniem całodobowego ruchu cieplnego w kotłowniach w obrębie nieruchomości gminy, administrowanych przez MZBM w Tychach.</w:t>
      </w:r>
    </w:p>
    <w:p w14:paraId="59FF0A63" w14:textId="55A80E56"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 w:hAnsi="Arial" w:cs="Arial"/>
          <w:color w:val="auto"/>
        </w:rPr>
        <w:t xml:space="preserve">Zamówienia udzielono na podstawie art.132 ustawy </w:t>
      </w:r>
      <w:proofErr w:type="spellStart"/>
      <w:r w:rsidRPr="00F0151C">
        <w:rPr>
          <w:rFonts w:ascii="Arial" w:hAnsi="Arial" w:cs="Arial"/>
          <w:color w:val="auto"/>
        </w:rPr>
        <w:t>Pzp</w:t>
      </w:r>
      <w:proofErr w:type="spellEnd"/>
      <w:r w:rsidRPr="00F0151C">
        <w:rPr>
          <w:rFonts w:ascii="Arial" w:hAnsi="Arial" w:cs="Arial"/>
          <w:color w:val="auto"/>
        </w:rPr>
        <w:t xml:space="preserve">. Wartość szacunkową oszacowano na kwotę 1 148 307,07 zł, co stanowiło równowartość 268 968,47 euro. Zgodnie </w:t>
      </w:r>
      <w:r w:rsidRPr="00F0151C">
        <w:rPr>
          <w:rFonts w:ascii="Arial" w:hAnsi="Arial" w:cs="Arial"/>
          <w:color w:val="auto"/>
        </w:rPr>
        <w:lastRenderedPageBreak/>
        <w:t>z</w:t>
      </w:r>
      <w:r w:rsidR="008F191A" w:rsidRPr="00F0151C">
        <w:rPr>
          <w:rFonts w:ascii="Arial" w:hAnsi="Arial" w:cs="Arial"/>
          <w:color w:val="auto"/>
        </w:rPr>
        <w:t> </w:t>
      </w:r>
      <w:r w:rsidRPr="00F0151C">
        <w:rPr>
          <w:rFonts w:ascii="Arial" w:hAnsi="Arial" w:cs="Arial"/>
          <w:color w:val="auto"/>
        </w:rPr>
        <w:t xml:space="preserve">przedłożoną do kontroli kalkulacją szacunkowej wartości zamówienia, oszacowano jego wartość z zastosowaniem cen obowiązujących w roku poprzednim z zastosowaniem </w:t>
      </w:r>
      <w:r w:rsidRPr="00F0151C">
        <w:rPr>
          <w:rFonts w:ascii="Arial" w:hAnsi="Arial" w:cs="Arial"/>
          <w:b/>
          <w:bCs/>
          <w:color w:val="auto"/>
        </w:rPr>
        <w:t>wskaźnika 1,1% lub 1,05% w przypadku stawek dla lokali mieszkalnych w budynkach MCO i 1,018 % w przypadku stawki za wywóz szamba.</w:t>
      </w:r>
      <w:r w:rsidRPr="00F0151C">
        <w:rPr>
          <w:rFonts w:ascii="Arial" w:hAnsi="Arial" w:cs="Arial"/>
          <w:color w:val="auto"/>
        </w:rPr>
        <w:t xml:space="preserve"> Tymczasem zgodnie z Instrukcją podstawą ustalenia wartości zamówienia na usługi lub dostawy powtarzające się okresowo lub podlegające wznowieniu w określonym czasie jest łączna wartość zamówień udzielonych MZBM Tychy w terminie poprzednich 12 miesięcy lub w poprzednim roku budżetowym</w:t>
      </w:r>
      <w:r w:rsidRPr="00F0151C">
        <w:rPr>
          <w:rFonts w:ascii="ArialMT" w:hAnsi="ArialMT" w:cs="ArialMT"/>
          <w:color w:val="auto"/>
        </w:rPr>
        <w:t xml:space="preserve"> lub roku obrotowym, z uwzględnieniem zmian ilościowych zamawianych usług lub dostaw oraz prognozowanego </w:t>
      </w:r>
      <w:r w:rsidRPr="00F0151C">
        <w:rPr>
          <w:rFonts w:ascii="Arial" w:hAnsi="Arial" w:cs="Arial"/>
          <w:color w:val="auto"/>
        </w:rPr>
        <w:t>na dany rok średniorocznego wskaźnika cen towarów i usług konsumpcyjnych ogółem, albo</w:t>
      </w:r>
      <w:r w:rsidRPr="00F0151C">
        <w:rPr>
          <w:rFonts w:ascii="ArialMT" w:hAnsi="ArialMT" w:cs="ArialMT"/>
          <w:color w:val="auto"/>
        </w:rPr>
        <w:t xml:space="preserve"> </w:t>
      </w:r>
      <w:r w:rsidRPr="00F0151C">
        <w:rPr>
          <w:rFonts w:ascii="Arial" w:hAnsi="Arial" w:cs="Arial"/>
          <w:color w:val="auto"/>
        </w:rPr>
        <w:t>których zamawiający zamierza udzielić w terminie 12 miesięcy następujących po pierwszej usłudze lub dostawie.</w:t>
      </w:r>
      <w:r w:rsidRPr="00F0151C">
        <w:rPr>
          <w:rFonts w:asciiTheme="minorHAnsi" w:eastAsiaTheme="minorHAnsi" w:hAnsiTheme="minorHAnsi" w:cstheme="minorBidi"/>
          <w:color w:val="auto"/>
          <w:kern w:val="2"/>
          <w:lang w:eastAsia="en-US"/>
          <w14:ligatures w14:val="standardContextual"/>
        </w:rPr>
        <w:t xml:space="preserve"> </w:t>
      </w:r>
      <w:r w:rsidRPr="00F0151C">
        <w:rPr>
          <w:rFonts w:ascii="Arial" w:hAnsi="Arial" w:cs="Arial"/>
          <w:b/>
          <w:bCs/>
          <w:color w:val="auto"/>
        </w:rPr>
        <w:t>Prognozowany średnioroczny wskaźnik cen towarów i usług konsumpcyjnych ogółem określony w ustawie budżetowej na 2022 r.  wynosił 3,3%, co oznacza oszacowanie wartości zamówienia niezgodnie z obowiązującą Instrukcją.</w:t>
      </w:r>
      <w:r w:rsidRPr="00F0151C">
        <w:rPr>
          <w:rFonts w:ascii="Arial" w:hAnsi="Arial" w:cs="Arial"/>
          <w:color w:val="auto"/>
        </w:rPr>
        <w:t xml:space="preserve"> Podczas czynności kontrolnych</w:t>
      </w:r>
      <w:r w:rsidRPr="00F0151C">
        <w:rPr>
          <w:rFonts w:ascii="Arial" w:eastAsiaTheme="minorHAnsi" w:hAnsi="Arial" w:cs="Arial"/>
          <w:color w:val="auto"/>
          <w:kern w:val="2"/>
          <w:lang w:eastAsia="en-US"/>
          <w14:ligatures w14:val="standardContextual"/>
        </w:rPr>
        <w:t xml:space="preserve"> </w:t>
      </w:r>
      <w:r w:rsidRPr="00F0151C">
        <w:rPr>
          <w:rFonts w:ascii="Arial" w:hAnsi="Arial" w:cs="Arial"/>
          <w:color w:val="auto"/>
        </w:rPr>
        <w:t>28.08.2023 r. zarządzeniem nr 0152/197/08/2023 wprowadzono aneks nr 8 do przedmiotowej Instrukcji zmieniający pkt 8 rozdziału V w zakresie sposobu szacowania wartości zamówienia. W</w:t>
      </w:r>
      <w:r w:rsidR="008F191A" w:rsidRPr="00F0151C">
        <w:rPr>
          <w:rFonts w:ascii="Arial" w:hAnsi="Arial" w:cs="Arial"/>
          <w:color w:val="auto"/>
        </w:rPr>
        <w:t> </w:t>
      </w:r>
      <w:r w:rsidRPr="00F0151C">
        <w:rPr>
          <w:rFonts w:ascii="Arial" w:hAnsi="Arial" w:cs="Arial"/>
          <w:color w:val="auto"/>
        </w:rPr>
        <w:t xml:space="preserve">zakresie sposobu ustalenia wartości zamówień na usługi lub dostawy powtarzające się okresowo lub podlegające wznowieniu w określonym czasie wprowadzono zapis analogiczny do art. 35 ust.1 ustawy </w:t>
      </w:r>
      <w:proofErr w:type="spellStart"/>
      <w:r w:rsidRPr="00F0151C">
        <w:rPr>
          <w:rFonts w:ascii="Arial" w:hAnsi="Arial" w:cs="Arial"/>
          <w:color w:val="auto"/>
        </w:rPr>
        <w:t>Pzp</w:t>
      </w:r>
      <w:proofErr w:type="spellEnd"/>
      <w:r w:rsidRPr="00F0151C">
        <w:rPr>
          <w:rFonts w:ascii="Arial" w:hAnsi="Arial" w:cs="Arial"/>
          <w:color w:val="auto"/>
        </w:rPr>
        <w:t xml:space="preserve"> oraz wskazano, że podstawa ustalenia wartości zamówienia </w:t>
      </w:r>
      <w:r w:rsidRPr="00F0151C">
        <w:rPr>
          <w:rFonts w:ascii="Arial" w:hAnsi="Arial" w:cs="Arial"/>
          <w:color w:val="auto"/>
          <w:u w:val="single"/>
        </w:rPr>
        <w:t>może</w:t>
      </w:r>
      <w:r w:rsidRPr="00F0151C">
        <w:rPr>
          <w:rFonts w:ascii="Arial" w:hAnsi="Arial" w:cs="Arial"/>
          <w:color w:val="auto"/>
        </w:rPr>
        <w:t xml:space="preserve"> uwzględniać w szczególności prognozowany na dany rok średnioroczny wskaźnik cen towarów i usług konsumpcyjnych ogółem, zmiany wysokości minimalnego wynagrodzenia za pracę, inne czynniki wpływające na wzrost cen towarów i usług. Wskazano również, że przy ustaleniu wartości zamówienia uwzględnia się największy możliwy zakres tego z</w:t>
      </w:r>
      <w:r w:rsidR="007D3016" w:rsidRPr="00F0151C">
        <w:rPr>
          <w:rFonts w:ascii="Arial" w:hAnsi="Arial" w:cs="Arial"/>
          <w:color w:val="auto"/>
        </w:rPr>
        <w:t>a</w:t>
      </w:r>
      <w:r w:rsidRPr="00F0151C">
        <w:rPr>
          <w:rFonts w:ascii="Arial" w:hAnsi="Arial" w:cs="Arial"/>
          <w:color w:val="auto"/>
        </w:rPr>
        <w:t xml:space="preserve">mówienia z uwzględnieniem opcji oraz wskazań. </w:t>
      </w:r>
    </w:p>
    <w:p w14:paraId="283E515B" w14:textId="234FF36F" w:rsidR="00191DDD" w:rsidRPr="00F0151C" w:rsidRDefault="00191DDD" w:rsidP="00191DDD">
      <w:pPr>
        <w:pStyle w:val="Domylnie"/>
        <w:tabs>
          <w:tab w:val="left" w:pos="567"/>
        </w:tabs>
        <w:rPr>
          <w:rFonts w:ascii="Arial" w:hAnsi="Arial" w:cs="Arial"/>
          <w:color w:val="auto"/>
          <w:sz w:val="22"/>
          <w:szCs w:val="22"/>
          <w:lang w:val="pl-PL"/>
        </w:rPr>
      </w:pPr>
      <w:r w:rsidRPr="00F0151C">
        <w:rPr>
          <w:rFonts w:ascii="Arial" w:hAnsi="Arial" w:cs="Arial"/>
          <w:color w:val="auto"/>
          <w:sz w:val="22"/>
          <w:szCs w:val="22"/>
          <w:lang w:val="pl-PL"/>
        </w:rPr>
        <w:t xml:space="preserve">Ogłoszenie o zamówieniu zostało przekazane Urzędowi Publikacji Unii Europejskiej 8.11.2021 r. oraz opublikowane w Dzienniku Unii Europejskiej 12.11.2021 r. </w:t>
      </w:r>
    </w:p>
    <w:p w14:paraId="79C3DE48" w14:textId="77777777" w:rsidR="00191DDD" w:rsidRPr="00F0151C" w:rsidRDefault="00191DDD" w:rsidP="00191DDD">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Szczegółowy opis przedmiotu zamówienia i warunki realizacji usług zawierały załączniki do SWZ:</w:t>
      </w:r>
    </w:p>
    <w:p w14:paraId="6A336245" w14:textId="5BCF4E64" w:rsidR="00191DDD" w:rsidRPr="00F0151C" w:rsidRDefault="00191DDD" w:rsidP="00326634">
      <w:pPr>
        <w:pStyle w:val="Akapitzlist"/>
        <w:widowControl/>
        <w:numPr>
          <w:ilvl w:val="0"/>
          <w:numId w:val="56"/>
        </w:numPr>
        <w:suppressAutoHyphens w:val="0"/>
        <w:overflowPunct/>
        <w:autoSpaceDE w:val="0"/>
        <w:autoSpaceDN w:val="0"/>
        <w:adjustRightInd w:val="0"/>
        <w:textAlignment w:val="auto"/>
        <w:rPr>
          <w:rFonts w:ascii="Arial" w:hAnsi="Arial" w:cs="Arial"/>
          <w:b/>
          <w:bCs/>
          <w:color w:val="auto"/>
          <w:sz w:val="22"/>
          <w:szCs w:val="22"/>
          <w:lang w:val="pl-PL"/>
        </w:rPr>
      </w:pPr>
      <w:r w:rsidRPr="00F0151C">
        <w:rPr>
          <w:rFonts w:ascii="Arial" w:hAnsi="Arial" w:cs="Arial"/>
          <w:color w:val="auto"/>
          <w:sz w:val="22"/>
          <w:szCs w:val="22"/>
          <w:lang w:val="pl-PL"/>
        </w:rPr>
        <w:t xml:space="preserve">nr 3a stanowiący opis przedmiotu umowy i warunki realizacji usług w zakresie bieżącej konserwacji i czynności całodobowego pogotowia  technicznego oraz wykonanie napraw i robót budowlanych w obrębie zasobów gminy </w:t>
      </w:r>
      <w:bookmarkStart w:id="41" w:name="_Hlk145931527"/>
      <w:r w:rsidRPr="00F0151C">
        <w:rPr>
          <w:rFonts w:ascii="Arial" w:hAnsi="Arial" w:cs="Arial"/>
          <w:color w:val="auto"/>
          <w:sz w:val="22"/>
          <w:szCs w:val="22"/>
          <w:lang w:val="pl-PL"/>
        </w:rPr>
        <w:t>administrowanych przez MZBM w Tychach</w:t>
      </w:r>
      <w:bookmarkEnd w:id="41"/>
      <w:r w:rsidRPr="00F0151C">
        <w:rPr>
          <w:rFonts w:ascii="Arial" w:hAnsi="Arial" w:cs="Arial"/>
          <w:color w:val="auto"/>
          <w:sz w:val="22"/>
          <w:szCs w:val="22"/>
          <w:lang w:val="pl-PL"/>
        </w:rPr>
        <w:t xml:space="preserve"> w podziale na nieruchomości i na zakres prac. </w:t>
      </w:r>
    </w:p>
    <w:p w14:paraId="504DE37B" w14:textId="77777777" w:rsidR="00191DDD" w:rsidRPr="00F0151C" w:rsidRDefault="00191DDD" w:rsidP="00326634">
      <w:pPr>
        <w:pStyle w:val="Akapitzlist"/>
        <w:widowControl/>
        <w:numPr>
          <w:ilvl w:val="0"/>
          <w:numId w:val="56"/>
        </w:numPr>
        <w:suppressAutoHyphens w:val="0"/>
        <w:overflowPunct/>
        <w:autoSpaceDE w:val="0"/>
        <w:autoSpaceDN w:val="0"/>
        <w:adjustRightInd w:val="0"/>
        <w:textAlignment w:val="auto"/>
        <w:rPr>
          <w:rFonts w:ascii="Arial" w:hAnsi="Arial" w:cs="Arial"/>
          <w:b/>
          <w:bCs/>
          <w:color w:val="auto"/>
          <w:sz w:val="22"/>
          <w:szCs w:val="22"/>
          <w:lang w:val="pl-PL"/>
        </w:rPr>
      </w:pPr>
      <w:r w:rsidRPr="00F0151C">
        <w:rPr>
          <w:rFonts w:ascii="Arial" w:hAnsi="Arial" w:cs="Arial"/>
          <w:color w:val="auto"/>
          <w:sz w:val="22"/>
          <w:szCs w:val="22"/>
          <w:lang w:val="pl-PL"/>
        </w:rPr>
        <w:t>nr 3b  stanowiący opis przedmiotu umowy i warunki realizacji usług w zakresie utrzymania całodobowego ruchu cieplnego w kotłowniach</w:t>
      </w:r>
      <w:r w:rsidRPr="00F0151C">
        <w:rPr>
          <w:rFonts w:ascii="Arial" w:hAnsi="Arial" w:cs="Arial"/>
          <w:color w:val="auto"/>
          <w:sz w:val="22"/>
          <w:szCs w:val="22"/>
          <w:u w:val="single"/>
          <w:lang w:val="pl-PL"/>
        </w:rPr>
        <w:t xml:space="preserve"> </w:t>
      </w:r>
      <w:r w:rsidRPr="00F0151C">
        <w:rPr>
          <w:rFonts w:ascii="Arial" w:hAnsi="Arial" w:cs="Arial"/>
          <w:color w:val="auto"/>
          <w:sz w:val="22"/>
          <w:szCs w:val="22"/>
          <w:lang w:val="pl-PL"/>
        </w:rPr>
        <w:t>węglowych i gazowych</w:t>
      </w:r>
    </w:p>
    <w:p w14:paraId="571CCD88" w14:textId="0B8F94FE" w:rsidR="00191DDD" w:rsidRPr="00F0151C" w:rsidRDefault="00191DDD" w:rsidP="00326634">
      <w:pPr>
        <w:pStyle w:val="Akapitzlist"/>
        <w:widowControl/>
        <w:numPr>
          <w:ilvl w:val="0"/>
          <w:numId w:val="56"/>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lastRenderedPageBreak/>
        <w:t>nr 3c stanowiący opis przedmiotu umowy i warunki realizacji usług w zakresie wywozu nieczystości - szambo w obrębie zasobów gminy</w:t>
      </w:r>
      <w:r w:rsidRPr="00F0151C">
        <w:rPr>
          <w:rFonts w:ascii="Arial" w:hAnsi="Arial" w:cs="Arial"/>
          <w:b/>
          <w:bCs/>
          <w:color w:val="auto"/>
          <w:sz w:val="22"/>
          <w:szCs w:val="22"/>
          <w:lang w:val="pl-PL"/>
        </w:rPr>
        <w:t xml:space="preserve"> </w:t>
      </w:r>
      <w:r w:rsidRPr="00F0151C">
        <w:rPr>
          <w:rFonts w:ascii="Arial" w:hAnsi="Arial" w:cs="Arial"/>
          <w:color w:val="auto"/>
          <w:sz w:val="22"/>
          <w:szCs w:val="22"/>
          <w:lang w:val="pl-PL"/>
        </w:rPr>
        <w:t>administrowanych przez MZBM w</w:t>
      </w:r>
      <w:r w:rsidR="008F191A" w:rsidRPr="00F0151C">
        <w:rPr>
          <w:rFonts w:ascii="Arial" w:hAnsi="Arial" w:cs="Arial"/>
          <w:color w:val="auto"/>
          <w:sz w:val="22"/>
          <w:szCs w:val="22"/>
          <w:lang w:val="pl-PL"/>
        </w:rPr>
        <w:t> </w:t>
      </w:r>
      <w:r w:rsidRPr="00F0151C">
        <w:rPr>
          <w:rFonts w:ascii="Arial" w:hAnsi="Arial" w:cs="Arial"/>
          <w:color w:val="auto"/>
          <w:sz w:val="22"/>
          <w:szCs w:val="22"/>
          <w:lang w:val="pl-PL"/>
        </w:rPr>
        <w:t>Tychach,</w:t>
      </w:r>
    </w:p>
    <w:p w14:paraId="0705D12C" w14:textId="77777777" w:rsidR="00191DDD" w:rsidRPr="00F0151C" w:rsidRDefault="00191DDD" w:rsidP="00326634">
      <w:pPr>
        <w:pStyle w:val="Akapitzlist"/>
        <w:widowControl/>
        <w:numPr>
          <w:ilvl w:val="0"/>
          <w:numId w:val="56"/>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t xml:space="preserve">nr 3d stanowiący opis przedmiotu umowy i warunki realizacji usług w zakresie realizacji usług w zakresie utrzymania w pełnej sprawności instalacji </w:t>
      </w:r>
      <w:proofErr w:type="spellStart"/>
      <w:r w:rsidRPr="00F0151C">
        <w:rPr>
          <w:rFonts w:ascii="Arial" w:hAnsi="Arial" w:cs="Arial"/>
          <w:color w:val="auto"/>
          <w:sz w:val="22"/>
          <w:szCs w:val="22"/>
          <w:lang w:val="pl-PL"/>
        </w:rPr>
        <w:t>klimatyzacyjno</w:t>
      </w:r>
      <w:proofErr w:type="spellEnd"/>
      <w:r w:rsidRPr="00F0151C">
        <w:rPr>
          <w:rFonts w:ascii="Arial" w:hAnsi="Arial" w:cs="Arial"/>
          <w:color w:val="auto"/>
          <w:sz w:val="22"/>
          <w:szCs w:val="22"/>
          <w:lang w:val="pl-PL"/>
        </w:rPr>
        <w:t xml:space="preserve"> – wentylacyjnej w lokalach administracji MZBM,</w:t>
      </w:r>
    </w:p>
    <w:p w14:paraId="053634A5" w14:textId="77777777" w:rsidR="00191DDD" w:rsidRPr="00F0151C" w:rsidRDefault="00191DDD" w:rsidP="00326634">
      <w:pPr>
        <w:pStyle w:val="Akapitzlist"/>
        <w:widowControl/>
        <w:numPr>
          <w:ilvl w:val="0"/>
          <w:numId w:val="56"/>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t>nr 5 stanowiący wykaz nieruchomości objętych świadczeniem usług w zakresie bieżącej konserwacji i czynności całodobowego pogotowia technicznego oraz wykonywania napraw i robót budowlanych,</w:t>
      </w:r>
    </w:p>
    <w:p w14:paraId="0B8E3F23" w14:textId="78A31C52" w:rsidR="00191DDD" w:rsidRPr="00F0151C" w:rsidRDefault="00191DDD" w:rsidP="00326634">
      <w:pPr>
        <w:pStyle w:val="Akapitzlist"/>
        <w:widowControl/>
        <w:numPr>
          <w:ilvl w:val="0"/>
          <w:numId w:val="56"/>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t>nr 6 stanowiący wykaz nieruchomości objętych wykonywaniem napraw i robót budowlanych na indywidualne zlecenia Zamawiającego,</w:t>
      </w:r>
    </w:p>
    <w:p w14:paraId="6B18E719" w14:textId="0701519D" w:rsidR="00191DDD" w:rsidRPr="00F0151C" w:rsidRDefault="00191DDD" w:rsidP="00326634">
      <w:pPr>
        <w:pStyle w:val="Akapitzlist"/>
        <w:widowControl/>
        <w:numPr>
          <w:ilvl w:val="0"/>
          <w:numId w:val="57"/>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t>nr 7 stanowiący wykaz nieruchomości do przeprowadzenia okresowych kontroli stanu technicznego sprawności instalacji hydrantowej, klap oddymiających i drzwi p.poż w</w:t>
      </w:r>
      <w:r w:rsidR="008F191A" w:rsidRPr="00F0151C">
        <w:rPr>
          <w:rFonts w:ascii="Arial" w:hAnsi="Arial" w:cs="Arial"/>
          <w:color w:val="auto"/>
          <w:sz w:val="22"/>
          <w:szCs w:val="22"/>
          <w:lang w:val="pl-PL"/>
        </w:rPr>
        <w:t> </w:t>
      </w:r>
      <w:r w:rsidRPr="00F0151C">
        <w:rPr>
          <w:rFonts w:ascii="Arial" w:hAnsi="Arial" w:cs="Arial"/>
          <w:color w:val="auto"/>
          <w:sz w:val="22"/>
          <w:szCs w:val="22"/>
          <w:lang w:val="pl-PL"/>
        </w:rPr>
        <w:t>budynkach mieszkalnych,</w:t>
      </w:r>
    </w:p>
    <w:p w14:paraId="35668B91" w14:textId="77777777" w:rsidR="00191DDD" w:rsidRPr="00F0151C" w:rsidRDefault="00191DDD" w:rsidP="00326634">
      <w:pPr>
        <w:pStyle w:val="Akapitzlist"/>
        <w:widowControl/>
        <w:numPr>
          <w:ilvl w:val="0"/>
          <w:numId w:val="57"/>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t>nr 8 stanowiący wykaz nieruchomości objętych utrzymaniem całodobowego ruchu cieplnego w kotłowniach węglowych i gazowych w obrębie zasobów gminy.</w:t>
      </w:r>
      <w:bookmarkEnd w:id="39"/>
      <w:bookmarkEnd w:id="40"/>
    </w:p>
    <w:p w14:paraId="3A04F94A" w14:textId="46C7F1E1" w:rsidR="00191DDD" w:rsidRPr="00F0151C" w:rsidRDefault="00191DDD" w:rsidP="00191DDD">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Termin składania ofert przy użyciu środków komunikacji elektronicznej wyznaczono na 9.12.2021 r. do godz. 9.00. Na ogłoszenie odpowiedział tylko  jeden oferent. Oferta opiewała na kwotę 1 370 801,02 zł  z terminem płatności 30 dni, terminem realizacji zamówienia od 1.01.2022 r. do 31.12.2022 r.</w:t>
      </w:r>
      <w:r w:rsidR="00410047" w:rsidRPr="00F0151C">
        <w:rPr>
          <w:rFonts w:ascii="Arial" w:hAnsi="Arial" w:cs="Arial"/>
          <w:color w:val="auto"/>
        </w:rPr>
        <w:t xml:space="preserve">, </w:t>
      </w:r>
      <w:r w:rsidRPr="00F0151C">
        <w:rPr>
          <w:rFonts w:ascii="Arial" w:hAnsi="Arial" w:cs="Arial"/>
          <w:color w:val="auto"/>
        </w:rPr>
        <w:t xml:space="preserve">stawką robocizny kosztorysowej 41,75 zł, kosztem pracy zwyżki 170 zł netto, kosztem WUKO 460 zł netto i wysokością kary umownej za każdy dzień zwłoki 300 zł. Oferta nie podlegała odrzuceniu. </w:t>
      </w:r>
    </w:p>
    <w:p w14:paraId="6BDC6DE3" w14:textId="1368D210" w:rsidR="00191DDD" w:rsidRPr="00F0151C" w:rsidRDefault="00191DDD" w:rsidP="00191DDD">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Zamawiający ogłosił, że  zamierza przeznaczyć na realizację zamówienia kwotę 1</w:t>
      </w:r>
      <w:r w:rsidR="004A7B7D" w:rsidRPr="00F0151C">
        <w:rPr>
          <w:rFonts w:ascii="Arial" w:hAnsi="Arial" w:cs="Arial"/>
          <w:color w:val="auto"/>
        </w:rPr>
        <w:t> </w:t>
      </w:r>
      <w:r w:rsidRPr="00F0151C">
        <w:rPr>
          <w:rFonts w:ascii="Arial" w:hAnsi="Arial" w:cs="Arial"/>
          <w:color w:val="auto"/>
        </w:rPr>
        <w:t>360</w:t>
      </w:r>
      <w:r w:rsidR="004A7B7D" w:rsidRPr="00F0151C">
        <w:rPr>
          <w:rFonts w:ascii="Arial" w:hAnsi="Arial" w:cs="Arial"/>
          <w:color w:val="auto"/>
        </w:rPr>
        <w:t> </w:t>
      </w:r>
      <w:r w:rsidRPr="00F0151C">
        <w:rPr>
          <w:rFonts w:ascii="Arial" w:hAnsi="Arial" w:cs="Arial"/>
          <w:color w:val="auto"/>
        </w:rPr>
        <w:t xml:space="preserve">461,81 zł.  Na wniosek Komisji przetargowej w związku z ceną  oferty przekraczającą kwotę jaką zamawiający zamierza przeznaczyć na wykonanie zamówienia Dyrektor wyraził zgodę na podwyższenie kwoty na realizację zamówienia o kwotę 10 339,21 zł. </w:t>
      </w:r>
    </w:p>
    <w:p w14:paraId="02708DC9" w14:textId="77777777" w:rsidR="00191DDD" w:rsidRPr="00F0151C" w:rsidRDefault="00191DDD" w:rsidP="00191DDD">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 xml:space="preserve">W prowadzonym postępowaniu dopełniono obowiązków wynikających z ustawy </w:t>
      </w:r>
      <w:proofErr w:type="spellStart"/>
      <w:r w:rsidRPr="00F0151C">
        <w:rPr>
          <w:rFonts w:ascii="Arial" w:hAnsi="Arial" w:cs="Arial"/>
          <w:color w:val="auto"/>
        </w:rPr>
        <w:t>Pzp</w:t>
      </w:r>
      <w:proofErr w:type="spellEnd"/>
      <w:r w:rsidRPr="00F0151C">
        <w:rPr>
          <w:rFonts w:ascii="Arial" w:hAnsi="Arial" w:cs="Arial"/>
          <w:color w:val="auto"/>
        </w:rPr>
        <w:t xml:space="preserve"> jak i obowiązującej w jednostce Instrukcji zamówień publicznych, w tym w zakresie oświadczeń.</w:t>
      </w:r>
    </w:p>
    <w:p w14:paraId="32FC1649" w14:textId="77777777" w:rsidR="00191DDD" w:rsidRPr="00F0151C" w:rsidRDefault="00191DDD" w:rsidP="00191DDD">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Z wykonawcą, który złożył ofertę 23.12.2021 r. podpisano umowę nr DTE-342/U/ 420/12/2021 w przedmiotowym zakresie zgodnie ze złożoną ofertą. Umowa została na podstawie</w:t>
      </w:r>
      <w:bookmarkStart w:id="42" w:name="_Hlk146107790"/>
      <w:r w:rsidRPr="00F0151C">
        <w:rPr>
          <w:rFonts w:ascii="Arial" w:hAnsi="Arial" w:cs="Arial"/>
          <w:color w:val="auto"/>
        </w:rPr>
        <w:t xml:space="preserve"> § </w:t>
      </w:r>
      <w:bookmarkEnd w:id="42"/>
      <w:r w:rsidRPr="00F0151C">
        <w:rPr>
          <w:rFonts w:ascii="Arial" w:hAnsi="Arial" w:cs="Arial"/>
          <w:color w:val="auto"/>
        </w:rPr>
        <w:t>21 umowy zmieniona aneksem:</w:t>
      </w:r>
    </w:p>
    <w:p w14:paraId="0BEFC631" w14:textId="77777777" w:rsidR="00191DDD" w:rsidRPr="00F0151C" w:rsidRDefault="00191DDD" w:rsidP="00326634">
      <w:pPr>
        <w:pStyle w:val="Akapitzlist"/>
        <w:widowControl/>
        <w:numPr>
          <w:ilvl w:val="0"/>
          <w:numId w:val="58"/>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t>nr 1 z 12.01.2022 r. z uwagi na omyłkę polegającą na załączeniu niewłaściwego załącznika 3a do umowy,</w:t>
      </w:r>
    </w:p>
    <w:p w14:paraId="0892FDDA" w14:textId="77777777" w:rsidR="00191DDD" w:rsidRPr="00F0151C" w:rsidRDefault="00191DDD" w:rsidP="00326634">
      <w:pPr>
        <w:pStyle w:val="Akapitzlist"/>
        <w:widowControl/>
        <w:numPr>
          <w:ilvl w:val="0"/>
          <w:numId w:val="58"/>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t>nr 2 z 25.01.2022 r. w zakresie oznaczenia Wykonawcy,</w:t>
      </w:r>
    </w:p>
    <w:p w14:paraId="0A214294" w14:textId="7D784A57" w:rsidR="00191DDD" w:rsidRPr="00F0151C" w:rsidRDefault="00191DDD" w:rsidP="003A3F03">
      <w:pPr>
        <w:pStyle w:val="Akapitzlist"/>
        <w:widowControl/>
        <w:numPr>
          <w:ilvl w:val="0"/>
          <w:numId w:val="58"/>
        </w:numPr>
        <w:suppressAutoHyphens w:val="0"/>
        <w:overflowPunct/>
        <w:autoSpaceDE w:val="0"/>
        <w:autoSpaceDN w:val="0"/>
        <w:adjustRightInd w:val="0"/>
        <w:textAlignment w:val="auto"/>
        <w:rPr>
          <w:rFonts w:ascii="Arial" w:hAnsi="Arial" w:cs="Arial"/>
          <w:b/>
          <w:bCs/>
          <w:color w:val="auto"/>
          <w:spacing w:val="-4"/>
          <w:sz w:val="22"/>
          <w:szCs w:val="22"/>
          <w:lang w:val="pl-PL"/>
        </w:rPr>
      </w:pPr>
      <w:r w:rsidRPr="00F0151C">
        <w:rPr>
          <w:rFonts w:ascii="Arial" w:hAnsi="Arial" w:cs="Arial"/>
          <w:color w:val="auto"/>
          <w:sz w:val="22"/>
          <w:szCs w:val="22"/>
          <w:lang w:val="pl-PL"/>
        </w:rPr>
        <w:lastRenderedPageBreak/>
        <w:t>nr 3 z 1.09.2022 r. w związku z protokołem konieczności spisanym 24.08.2022 r. w</w:t>
      </w:r>
      <w:r w:rsidR="008F191A" w:rsidRPr="00F0151C">
        <w:rPr>
          <w:rFonts w:ascii="Arial" w:hAnsi="Arial" w:cs="Arial"/>
          <w:color w:val="auto"/>
          <w:sz w:val="22"/>
          <w:szCs w:val="22"/>
          <w:lang w:val="pl-PL"/>
        </w:rPr>
        <w:t> </w:t>
      </w:r>
      <w:r w:rsidRPr="00F0151C">
        <w:rPr>
          <w:rFonts w:ascii="Arial" w:hAnsi="Arial" w:cs="Arial"/>
          <w:color w:val="auto"/>
          <w:sz w:val="22"/>
          <w:szCs w:val="22"/>
          <w:lang w:val="pl-PL"/>
        </w:rPr>
        <w:t>którym wskazano, że zainstalowane urządzenia systemu odwadniania terenu na osiedlu Osada wymagają okresowych przeglądów technicznych. Na podstawie art.</w:t>
      </w:r>
      <w:r w:rsidR="004A7B7D" w:rsidRPr="00F0151C">
        <w:rPr>
          <w:rFonts w:ascii="Arial" w:hAnsi="Arial" w:cs="Arial"/>
          <w:color w:val="auto"/>
          <w:sz w:val="22"/>
          <w:szCs w:val="22"/>
          <w:lang w:val="pl-PL"/>
        </w:rPr>
        <w:t> </w:t>
      </w:r>
      <w:r w:rsidRPr="00F0151C">
        <w:rPr>
          <w:rFonts w:ascii="Arial" w:hAnsi="Arial" w:cs="Arial"/>
          <w:color w:val="auto"/>
          <w:sz w:val="22"/>
          <w:szCs w:val="22"/>
          <w:lang w:val="pl-PL"/>
        </w:rPr>
        <w:t xml:space="preserve">455 ust. 2 ustawy </w:t>
      </w:r>
      <w:proofErr w:type="spellStart"/>
      <w:r w:rsidRPr="00F0151C">
        <w:rPr>
          <w:rFonts w:ascii="Arial" w:hAnsi="Arial" w:cs="Arial"/>
          <w:color w:val="auto"/>
          <w:sz w:val="22"/>
          <w:szCs w:val="22"/>
          <w:lang w:val="pl-PL"/>
        </w:rPr>
        <w:t>Pzp</w:t>
      </w:r>
      <w:proofErr w:type="spellEnd"/>
      <w:r w:rsidRPr="00F0151C">
        <w:rPr>
          <w:rFonts w:ascii="Arial" w:hAnsi="Arial" w:cs="Arial"/>
          <w:color w:val="auto"/>
          <w:sz w:val="22"/>
          <w:szCs w:val="22"/>
          <w:lang w:val="pl-PL"/>
        </w:rPr>
        <w:t xml:space="preserve"> dokonano zmiany w treści umowy poprzez wprowadzenia pkt 1.1.4 do  § 8  ust.1 o brzmieniu: usługa przeglądu przepompowni i separatora o</w:t>
      </w:r>
      <w:r w:rsidR="008F191A" w:rsidRPr="00F0151C">
        <w:rPr>
          <w:rFonts w:ascii="Arial" w:hAnsi="Arial" w:cs="Arial"/>
          <w:color w:val="auto"/>
          <w:sz w:val="22"/>
          <w:szCs w:val="22"/>
          <w:lang w:val="pl-PL"/>
        </w:rPr>
        <w:t> </w:t>
      </w:r>
      <w:r w:rsidRPr="00F0151C">
        <w:rPr>
          <w:rFonts w:ascii="Arial" w:hAnsi="Arial" w:cs="Arial"/>
          <w:color w:val="auto"/>
          <w:sz w:val="22"/>
          <w:szCs w:val="22"/>
          <w:lang w:val="pl-PL"/>
        </w:rPr>
        <w:t>wartości 3 936 zł, a tym samym  cen</w:t>
      </w:r>
      <w:r w:rsidR="00375412" w:rsidRPr="00F0151C">
        <w:rPr>
          <w:rFonts w:ascii="Arial" w:hAnsi="Arial" w:cs="Arial"/>
          <w:color w:val="auto"/>
          <w:sz w:val="22"/>
          <w:szCs w:val="22"/>
          <w:lang w:val="pl-PL"/>
        </w:rPr>
        <w:t>a</w:t>
      </w:r>
      <w:r w:rsidRPr="00F0151C">
        <w:rPr>
          <w:rFonts w:ascii="Arial" w:hAnsi="Arial" w:cs="Arial"/>
          <w:color w:val="auto"/>
          <w:sz w:val="22"/>
          <w:szCs w:val="22"/>
          <w:lang w:val="pl-PL"/>
        </w:rPr>
        <w:t xml:space="preserve"> wynagrodzenia ofertowego stanowi  kwotę </w:t>
      </w:r>
      <w:r w:rsidRPr="00F0151C">
        <w:rPr>
          <w:rFonts w:ascii="Arial" w:hAnsi="Arial" w:cs="Arial"/>
          <w:b/>
          <w:bCs/>
          <w:color w:val="auto"/>
          <w:sz w:val="22"/>
          <w:szCs w:val="22"/>
          <w:lang w:val="pl-PL"/>
        </w:rPr>
        <w:t>1 374 737,02 zł.</w:t>
      </w:r>
    </w:p>
    <w:p w14:paraId="4C0C164C" w14:textId="77D30E0B" w:rsidR="003A3F03" w:rsidRPr="00F0151C" w:rsidRDefault="003A3F03" w:rsidP="003A3F03">
      <w:pPr>
        <w:overflowPunct/>
        <w:autoSpaceDE w:val="0"/>
        <w:autoSpaceDN w:val="0"/>
        <w:adjustRightInd w:val="0"/>
        <w:spacing w:after="0" w:line="360" w:lineRule="auto"/>
        <w:jc w:val="both"/>
        <w:rPr>
          <w:rFonts w:ascii="Arial" w:hAnsi="Arial" w:cs="Arial"/>
          <w:color w:val="auto"/>
          <w:spacing w:val="-4"/>
        </w:rPr>
      </w:pPr>
      <w:r w:rsidRPr="00F0151C">
        <w:rPr>
          <w:rFonts w:ascii="Arial" w:hAnsi="Arial" w:cs="Arial"/>
          <w:color w:val="auto"/>
          <w:spacing w:val="-4"/>
        </w:rPr>
        <w:t>Zakład dokonał zwrotu wpłaconego przez Wykonawcę wadium wraz z prawidłowo wyliczonymi odsetkami.</w:t>
      </w:r>
    </w:p>
    <w:p w14:paraId="3903EBF3" w14:textId="42B66217" w:rsidR="00191DDD" w:rsidRPr="00F0151C" w:rsidRDefault="00191DDD" w:rsidP="004F74DE">
      <w:pPr>
        <w:autoSpaceDE w:val="0"/>
        <w:autoSpaceDN w:val="0"/>
        <w:adjustRightInd w:val="0"/>
        <w:spacing w:after="0" w:line="360" w:lineRule="auto"/>
        <w:ind w:firstLine="426"/>
        <w:jc w:val="both"/>
        <w:rPr>
          <w:rFonts w:ascii="Arial" w:eastAsia="Andale Sans UI" w:hAnsi="Arial" w:cs="Arial"/>
          <w:b/>
          <w:bCs/>
          <w:color w:val="auto"/>
          <w:spacing w:val="-4"/>
          <w:lang w:eastAsia="ja-JP" w:bidi="fa-IR"/>
        </w:rPr>
      </w:pPr>
      <w:r w:rsidRPr="00F0151C">
        <w:rPr>
          <w:rFonts w:ascii="Arial" w:eastAsia="Times New Roman" w:hAnsi="Arial" w:cs="Arial"/>
          <w:b/>
          <w:bCs/>
          <w:color w:val="auto"/>
        </w:rPr>
        <w:t xml:space="preserve">Zgodnie z art. 448 ustawy </w:t>
      </w:r>
      <w:proofErr w:type="spellStart"/>
      <w:r w:rsidRPr="00F0151C">
        <w:rPr>
          <w:rFonts w:ascii="Arial" w:eastAsia="Times New Roman" w:hAnsi="Arial" w:cs="Arial"/>
          <w:b/>
          <w:bCs/>
          <w:color w:val="auto"/>
        </w:rPr>
        <w:t>Pzp</w:t>
      </w:r>
      <w:proofErr w:type="spellEnd"/>
      <w:r w:rsidRPr="00F0151C">
        <w:rPr>
          <w:rFonts w:ascii="Arial" w:eastAsia="Times New Roman" w:hAnsi="Arial" w:cs="Arial"/>
          <w:b/>
          <w:bCs/>
          <w:color w:val="auto"/>
        </w:rPr>
        <w:t xml:space="preserve"> zamawiający, w terminie 30 dni od wykonania umowy</w:t>
      </w:r>
      <w:r w:rsidRPr="00F0151C">
        <w:rPr>
          <w:rFonts w:ascii="Arial" w:eastAsia="Times New Roman" w:hAnsi="Arial" w:cs="Arial"/>
          <w:color w:val="auto"/>
        </w:rPr>
        <w:t xml:space="preserve">, zamieszcza w Biuletynie Zamówień Publicznych ogłoszenie o wykonaniu umowy, na zasadach określonych w dziale III rozdziale 2. </w:t>
      </w:r>
      <w:r w:rsidRPr="00F0151C">
        <w:rPr>
          <w:rFonts w:ascii="Arial" w:eastAsia="Times New Roman" w:hAnsi="Arial" w:cs="Arial"/>
          <w:b/>
          <w:bCs/>
          <w:color w:val="auto"/>
        </w:rPr>
        <w:t xml:space="preserve">Tymczasem z przedłożonej do kontroli dokumentacji wynika, że ogłoszenie </w:t>
      </w:r>
      <w:r w:rsidRPr="00F0151C">
        <w:rPr>
          <w:rFonts w:ascii="Arial" w:eastAsia="Andale Sans UI" w:hAnsi="Arial" w:cs="Arial"/>
          <w:b/>
          <w:bCs/>
          <w:color w:val="auto"/>
          <w:spacing w:val="-4"/>
          <w:lang w:eastAsia="ja-JP" w:bidi="fa-IR"/>
        </w:rPr>
        <w:t>z wykonania umowy zamiesz</w:t>
      </w:r>
      <w:r w:rsidR="00375412" w:rsidRPr="00F0151C">
        <w:rPr>
          <w:rFonts w:ascii="Arial" w:eastAsia="Andale Sans UI" w:hAnsi="Arial" w:cs="Arial"/>
          <w:b/>
          <w:bCs/>
          <w:color w:val="auto"/>
          <w:spacing w:val="-4"/>
          <w:lang w:eastAsia="ja-JP" w:bidi="fa-IR"/>
        </w:rPr>
        <w:t>cz</w:t>
      </w:r>
      <w:r w:rsidRPr="00F0151C">
        <w:rPr>
          <w:rFonts w:ascii="Arial" w:eastAsia="Andale Sans UI" w:hAnsi="Arial" w:cs="Arial"/>
          <w:b/>
          <w:bCs/>
          <w:color w:val="auto"/>
          <w:spacing w:val="-4"/>
          <w:lang w:eastAsia="ja-JP" w:bidi="fa-IR"/>
        </w:rPr>
        <w:t xml:space="preserve">ono w Biuletynie Zamówień Publicznych dopiero 21.08.2023 r. </w:t>
      </w:r>
      <w:r w:rsidRPr="00F0151C">
        <w:rPr>
          <w:rFonts w:ascii="Arial" w:eastAsia="Andale Sans UI" w:hAnsi="Arial" w:cs="Arial"/>
          <w:color w:val="auto"/>
          <w:spacing w:val="-4"/>
          <w:lang w:eastAsia="ja-JP" w:bidi="fa-IR"/>
        </w:rPr>
        <w:t>Łączna wartość wynagrodzenia wypłacona z</w:t>
      </w:r>
      <w:r w:rsidR="008F191A" w:rsidRPr="00F0151C">
        <w:rPr>
          <w:rFonts w:ascii="Arial" w:eastAsia="Andale Sans UI" w:hAnsi="Arial" w:cs="Arial"/>
          <w:color w:val="auto"/>
          <w:spacing w:val="-4"/>
          <w:lang w:eastAsia="ja-JP" w:bidi="fa-IR"/>
        </w:rPr>
        <w:t> </w:t>
      </w:r>
      <w:r w:rsidRPr="00F0151C">
        <w:rPr>
          <w:rFonts w:ascii="Arial" w:eastAsia="Andale Sans UI" w:hAnsi="Arial" w:cs="Arial"/>
          <w:color w:val="auto"/>
          <w:spacing w:val="-4"/>
          <w:lang w:eastAsia="ja-JP" w:bidi="fa-IR"/>
        </w:rPr>
        <w:t xml:space="preserve">tytułu realizacji umowy wykazana w ogłoszeniu to kwota </w:t>
      </w:r>
      <w:bookmarkStart w:id="43" w:name="_Hlk146196612"/>
      <w:r w:rsidRPr="00F0151C">
        <w:rPr>
          <w:rFonts w:ascii="Arial" w:eastAsia="Andale Sans UI" w:hAnsi="Arial" w:cs="Arial"/>
          <w:b/>
          <w:bCs/>
          <w:color w:val="auto"/>
          <w:spacing w:val="-4"/>
          <w:lang w:eastAsia="ja-JP" w:bidi="fa-IR"/>
        </w:rPr>
        <w:t>1 225 995,81 zł</w:t>
      </w:r>
      <w:r w:rsidRPr="00F0151C">
        <w:rPr>
          <w:rFonts w:ascii="Arial" w:eastAsia="Andale Sans UI" w:hAnsi="Arial" w:cs="Arial"/>
          <w:color w:val="auto"/>
          <w:spacing w:val="-4"/>
          <w:lang w:eastAsia="ja-JP" w:bidi="fa-IR"/>
        </w:rPr>
        <w:t>. Wartość ta nie znajdowała potwierdzenia w przedłożonych do kontroli dokumentach tj. rozrachunkach z</w:t>
      </w:r>
      <w:r w:rsidR="008F191A" w:rsidRPr="00F0151C">
        <w:rPr>
          <w:rFonts w:ascii="Arial" w:eastAsia="Andale Sans UI" w:hAnsi="Arial" w:cs="Arial"/>
          <w:color w:val="auto"/>
          <w:spacing w:val="-4"/>
          <w:lang w:eastAsia="ja-JP" w:bidi="fa-IR"/>
        </w:rPr>
        <w:t> </w:t>
      </w:r>
      <w:r w:rsidRPr="00F0151C">
        <w:rPr>
          <w:rFonts w:ascii="Arial" w:eastAsia="Andale Sans UI" w:hAnsi="Arial" w:cs="Arial"/>
          <w:color w:val="auto"/>
          <w:spacing w:val="-4"/>
          <w:lang w:eastAsia="ja-JP" w:bidi="fa-IR"/>
        </w:rPr>
        <w:t xml:space="preserve">wykonawcą na kontach </w:t>
      </w:r>
      <w:r w:rsidRPr="00F0151C">
        <w:rPr>
          <w:rFonts w:ascii="Arial" w:hAnsi="Arial" w:cs="Arial"/>
          <w:color w:val="auto"/>
        </w:rPr>
        <w:t xml:space="preserve">201-200-00531 </w:t>
      </w:r>
      <w:r w:rsidRPr="00F0151C">
        <w:rPr>
          <w:rFonts w:ascii="Arial" w:hAnsi="Arial" w:cs="Arial"/>
          <w:i/>
          <w:iCs/>
          <w:color w:val="auto"/>
        </w:rPr>
        <w:t xml:space="preserve">do </w:t>
      </w:r>
      <w:r w:rsidRPr="00F0151C">
        <w:rPr>
          <w:rFonts w:ascii="Arial" w:hAnsi="Arial" w:cs="Arial"/>
          <w:color w:val="auto"/>
        </w:rPr>
        <w:t xml:space="preserve">201-200-00531Z, czy kartotekach kont zespołu  4 dla konserwacji i remontów w ramach konserwacji. </w:t>
      </w:r>
      <w:bookmarkEnd w:id="43"/>
      <w:r w:rsidRPr="00F0151C">
        <w:rPr>
          <w:rFonts w:ascii="Arial" w:hAnsi="Arial" w:cs="Arial"/>
          <w:color w:val="auto"/>
        </w:rPr>
        <w:t xml:space="preserve">Na prośbę o wyjaśnienie tej kwoty przekazano kontrolującym ogłoszenie </w:t>
      </w:r>
      <w:r w:rsidR="00375412" w:rsidRPr="00F0151C">
        <w:rPr>
          <w:rFonts w:ascii="Arial" w:hAnsi="Arial" w:cs="Arial"/>
          <w:color w:val="auto"/>
        </w:rPr>
        <w:t>o</w:t>
      </w:r>
      <w:r w:rsidRPr="00F0151C">
        <w:rPr>
          <w:rFonts w:ascii="Arial" w:hAnsi="Arial" w:cs="Arial"/>
          <w:color w:val="auto"/>
        </w:rPr>
        <w:t xml:space="preserve"> zmianie ogłoszenia z wykonania umowy z</w:t>
      </w:r>
      <w:r w:rsidR="008F191A" w:rsidRPr="00F0151C">
        <w:rPr>
          <w:rFonts w:ascii="Arial" w:hAnsi="Arial" w:cs="Arial"/>
          <w:color w:val="auto"/>
        </w:rPr>
        <w:t> </w:t>
      </w:r>
      <w:r w:rsidRPr="00F0151C">
        <w:rPr>
          <w:rFonts w:ascii="Arial" w:hAnsi="Arial" w:cs="Arial"/>
          <w:color w:val="auto"/>
        </w:rPr>
        <w:t>28.09.2023 r.</w:t>
      </w:r>
      <w:r w:rsidR="00375412" w:rsidRPr="00F0151C">
        <w:rPr>
          <w:rFonts w:ascii="Arial" w:hAnsi="Arial" w:cs="Arial"/>
          <w:color w:val="auto"/>
        </w:rPr>
        <w:t>,</w:t>
      </w:r>
      <w:r w:rsidRPr="00F0151C">
        <w:rPr>
          <w:rFonts w:ascii="Arial" w:hAnsi="Arial" w:cs="Arial"/>
          <w:color w:val="auto"/>
        </w:rPr>
        <w:t xml:space="preserve"> w którym wykazano łączną wartość wynagrodzenia wypłaconego z tytułu umowy w kwocie </w:t>
      </w:r>
      <w:r w:rsidRPr="00F0151C">
        <w:rPr>
          <w:rFonts w:ascii="Arial" w:hAnsi="Arial" w:cs="Arial"/>
          <w:b/>
          <w:bCs/>
          <w:color w:val="auto"/>
        </w:rPr>
        <w:t>1</w:t>
      </w:r>
      <w:r w:rsidR="00375412" w:rsidRPr="00F0151C">
        <w:rPr>
          <w:rFonts w:ascii="Arial" w:hAnsi="Arial" w:cs="Arial"/>
          <w:b/>
          <w:bCs/>
          <w:color w:val="auto"/>
        </w:rPr>
        <w:t> </w:t>
      </w:r>
      <w:r w:rsidRPr="00F0151C">
        <w:rPr>
          <w:rFonts w:ascii="Arial" w:hAnsi="Arial" w:cs="Arial"/>
          <w:b/>
          <w:bCs/>
          <w:color w:val="auto"/>
        </w:rPr>
        <w:t>341</w:t>
      </w:r>
      <w:r w:rsidR="00375412" w:rsidRPr="00F0151C">
        <w:rPr>
          <w:rFonts w:ascii="Arial" w:hAnsi="Arial" w:cs="Arial"/>
          <w:b/>
          <w:bCs/>
          <w:color w:val="auto"/>
        </w:rPr>
        <w:t xml:space="preserve"> </w:t>
      </w:r>
      <w:r w:rsidRPr="00F0151C">
        <w:rPr>
          <w:rFonts w:ascii="Arial" w:hAnsi="Arial" w:cs="Arial"/>
          <w:b/>
          <w:bCs/>
          <w:color w:val="auto"/>
        </w:rPr>
        <w:t>754,81</w:t>
      </w:r>
      <w:r w:rsidR="00375412" w:rsidRPr="00F0151C">
        <w:rPr>
          <w:rFonts w:ascii="Arial" w:hAnsi="Arial" w:cs="Arial"/>
          <w:b/>
          <w:bCs/>
          <w:color w:val="auto"/>
        </w:rPr>
        <w:t xml:space="preserve"> </w:t>
      </w:r>
      <w:r w:rsidRPr="00F0151C">
        <w:rPr>
          <w:rFonts w:ascii="Arial" w:hAnsi="Arial" w:cs="Arial"/>
          <w:b/>
          <w:bCs/>
          <w:color w:val="auto"/>
        </w:rPr>
        <w:t>zł</w:t>
      </w:r>
      <w:r w:rsidRPr="00F0151C">
        <w:rPr>
          <w:rFonts w:ascii="Arial" w:hAnsi="Arial" w:cs="Arial"/>
          <w:color w:val="auto"/>
        </w:rPr>
        <w:t>, która znajduje odzwierciedlenie w faktur</w:t>
      </w:r>
      <w:r w:rsidR="00375412" w:rsidRPr="00F0151C">
        <w:rPr>
          <w:rFonts w:ascii="Arial" w:hAnsi="Arial" w:cs="Arial"/>
          <w:color w:val="auto"/>
        </w:rPr>
        <w:t>ach</w:t>
      </w:r>
      <w:r w:rsidRPr="00F0151C">
        <w:rPr>
          <w:rFonts w:ascii="Arial" w:hAnsi="Arial" w:cs="Arial"/>
          <w:color w:val="auto"/>
        </w:rPr>
        <w:t xml:space="preserve"> brutto wystawionych przez wykonawcę w związku z realizacj</w:t>
      </w:r>
      <w:r w:rsidR="00375412" w:rsidRPr="00F0151C">
        <w:rPr>
          <w:rFonts w:ascii="Arial" w:hAnsi="Arial" w:cs="Arial"/>
          <w:color w:val="auto"/>
        </w:rPr>
        <w:t>ą</w:t>
      </w:r>
      <w:r w:rsidRPr="00F0151C">
        <w:rPr>
          <w:rFonts w:ascii="Arial" w:hAnsi="Arial" w:cs="Arial"/>
          <w:color w:val="auto"/>
        </w:rPr>
        <w:t xml:space="preserve"> umowy. </w:t>
      </w:r>
    </w:p>
    <w:p w14:paraId="667FAE5B" w14:textId="407048AD" w:rsidR="00191DDD" w:rsidRPr="00F0151C" w:rsidRDefault="00191DDD" w:rsidP="00191DDD">
      <w:pPr>
        <w:autoSpaceDE w:val="0"/>
        <w:autoSpaceDN w:val="0"/>
        <w:adjustRightInd w:val="0"/>
        <w:spacing w:after="0" w:line="360" w:lineRule="auto"/>
        <w:ind w:firstLine="420"/>
        <w:jc w:val="both"/>
        <w:rPr>
          <w:rFonts w:ascii="Arial" w:eastAsia="Andale Sans UI" w:hAnsi="Arial" w:cs="Arial"/>
          <w:b/>
          <w:bCs/>
          <w:color w:val="auto"/>
          <w:spacing w:val="-4"/>
          <w:lang w:eastAsia="ja-JP" w:bidi="fa-IR"/>
        </w:rPr>
      </w:pPr>
      <w:bookmarkStart w:id="44" w:name="_Hlk147315581"/>
      <w:r w:rsidRPr="00F0151C">
        <w:rPr>
          <w:rFonts w:ascii="Arial" w:eastAsia="Andale Sans UI" w:hAnsi="Arial" w:cs="Arial"/>
          <w:b/>
          <w:bCs/>
          <w:color w:val="auto"/>
          <w:spacing w:val="-4"/>
          <w:lang w:eastAsia="ja-JP" w:bidi="fa-IR"/>
        </w:rPr>
        <w:t>Podczas kontroli realizacji umowy ustalono</w:t>
      </w:r>
      <w:r w:rsidR="00375412" w:rsidRPr="00F0151C">
        <w:rPr>
          <w:rFonts w:ascii="Arial" w:eastAsia="Andale Sans UI" w:hAnsi="Arial" w:cs="Arial"/>
          <w:b/>
          <w:bCs/>
          <w:color w:val="auto"/>
          <w:spacing w:val="-4"/>
          <w:lang w:eastAsia="ja-JP" w:bidi="fa-IR"/>
        </w:rPr>
        <w:t>,</w:t>
      </w:r>
      <w:r w:rsidRPr="00F0151C">
        <w:rPr>
          <w:rFonts w:ascii="Arial" w:eastAsia="Andale Sans UI" w:hAnsi="Arial" w:cs="Arial"/>
          <w:b/>
          <w:bCs/>
          <w:color w:val="auto"/>
          <w:spacing w:val="-4"/>
          <w:lang w:eastAsia="ja-JP" w:bidi="fa-IR"/>
        </w:rPr>
        <w:t xml:space="preserve"> że protokół z przeglądu i konserwacji sprzętu gaśniczego z 19.12.2022 r. w budynku przy ul. Filaretów 31 został sporządzony przez  firmę, której wykonawca nie wskazał jako podwykonawcy w ofercie</w:t>
      </w:r>
      <w:r w:rsidRPr="00F0151C">
        <w:rPr>
          <w:rFonts w:ascii="Arial" w:eastAsia="Andale Sans UI" w:hAnsi="Arial" w:cs="Arial"/>
          <w:color w:val="auto"/>
          <w:spacing w:val="-4"/>
          <w:lang w:eastAsia="ja-JP" w:bidi="fa-IR"/>
        </w:rPr>
        <w:t xml:space="preserve">. </w:t>
      </w:r>
      <w:r w:rsidRPr="00F0151C">
        <w:rPr>
          <w:rFonts w:ascii="Arial" w:eastAsia="Andale Sans UI" w:hAnsi="Arial" w:cs="Arial"/>
          <w:b/>
          <w:bCs/>
          <w:color w:val="auto"/>
          <w:spacing w:val="-4"/>
          <w:lang w:eastAsia="ja-JP" w:bidi="fa-IR"/>
        </w:rPr>
        <w:t xml:space="preserve">Wykonawca przewidywał wykonywanie przedmiotu umowy bez podwykonawców. </w:t>
      </w:r>
    </w:p>
    <w:bookmarkEnd w:id="44"/>
    <w:p w14:paraId="4B50B42C" w14:textId="77777777" w:rsidR="00191DDD" w:rsidRPr="00F0151C" w:rsidRDefault="00191DDD" w:rsidP="00191DDD">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Zgodnie z § 6 umowy wykonawca wykonywać będzie zamówienie samodzielnie. Wykonawca</w:t>
      </w:r>
    </w:p>
    <w:p w14:paraId="4E27BDB0" w14:textId="168D5969" w:rsidR="00191DDD" w:rsidRPr="00F0151C" w:rsidRDefault="00191DDD" w:rsidP="00191DDD">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zamierzający zawrzeć umowę o podwykonawstwo jest zobowiązany w trakcie</w:t>
      </w:r>
      <w:r w:rsidRPr="00F0151C">
        <w:rPr>
          <w:rFonts w:ascii="Arial" w:eastAsia="Andale Sans UI" w:hAnsi="Arial" w:cs="Arial"/>
          <w:color w:val="auto"/>
          <w:spacing w:val="-4"/>
          <w:lang w:eastAsia="ja-JP" w:bidi="fa-IR"/>
        </w:rPr>
        <w:t xml:space="preserve"> </w:t>
      </w:r>
      <w:r w:rsidRPr="00F0151C">
        <w:rPr>
          <w:rFonts w:ascii="Arial" w:hAnsi="Arial" w:cs="Arial"/>
          <w:color w:val="auto"/>
        </w:rPr>
        <w:t>realizacji zamówienia publicznego do przedłożenia zamawiającemu projektu tej umowy,</w:t>
      </w:r>
      <w:r w:rsidRPr="00F0151C">
        <w:rPr>
          <w:rFonts w:ascii="Arial" w:eastAsia="Andale Sans UI" w:hAnsi="Arial" w:cs="Arial"/>
          <w:color w:val="auto"/>
          <w:spacing w:val="-4"/>
          <w:lang w:eastAsia="ja-JP" w:bidi="fa-IR"/>
        </w:rPr>
        <w:t xml:space="preserve"> </w:t>
      </w:r>
      <w:r w:rsidRPr="00F0151C">
        <w:rPr>
          <w:rFonts w:ascii="Arial" w:hAnsi="Arial" w:cs="Arial"/>
          <w:color w:val="auto"/>
        </w:rPr>
        <w:t>który powinien w szczególności zastrzegać spełnienie przez podwykonawcę wymagań</w:t>
      </w:r>
      <w:r w:rsidRPr="00F0151C">
        <w:rPr>
          <w:rFonts w:ascii="Arial" w:eastAsia="Andale Sans UI" w:hAnsi="Arial" w:cs="Arial"/>
          <w:color w:val="auto"/>
          <w:spacing w:val="-4"/>
          <w:lang w:eastAsia="ja-JP" w:bidi="fa-IR"/>
        </w:rPr>
        <w:t xml:space="preserve"> </w:t>
      </w:r>
      <w:r w:rsidRPr="00F0151C">
        <w:rPr>
          <w:rFonts w:ascii="Arial" w:hAnsi="Arial" w:cs="Arial"/>
          <w:color w:val="auto"/>
        </w:rPr>
        <w:t>zamawiającego dotyczących realizacji niniejszej umowy</w:t>
      </w:r>
      <w:r w:rsidR="00375412" w:rsidRPr="00F0151C">
        <w:rPr>
          <w:rFonts w:ascii="Arial" w:hAnsi="Arial" w:cs="Arial"/>
          <w:color w:val="auto"/>
        </w:rPr>
        <w:t xml:space="preserve">. </w:t>
      </w:r>
      <w:r w:rsidRPr="00F0151C">
        <w:rPr>
          <w:rFonts w:ascii="Arial" w:hAnsi="Arial" w:cs="Arial"/>
          <w:color w:val="auto"/>
        </w:rPr>
        <w:t xml:space="preserve">Jeżeli zamawiający w terminie do 14 dni od daty przedłożenia mu przez Wykonawcę projektu umowy o podwykonawstwo na wykonanie części zamówienia, nie zgłosi pisemnych zastrzeżeń - uważa się za akceptację projektu umowy przez Zamawiającego. </w:t>
      </w:r>
      <w:r w:rsidRPr="00F0151C">
        <w:rPr>
          <w:rFonts w:ascii="Arial" w:hAnsi="Arial" w:cs="Arial"/>
          <w:b/>
          <w:bCs/>
          <w:color w:val="auto"/>
        </w:rPr>
        <w:t>Do kontroli przedłożono kontrolującym tylko oświadczenie wykonawcy</w:t>
      </w:r>
      <w:r w:rsidRPr="00F0151C">
        <w:rPr>
          <w:rFonts w:ascii="Arial" w:hAnsi="Arial" w:cs="Arial"/>
          <w:color w:val="auto"/>
        </w:rPr>
        <w:t xml:space="preserve"> z 30.08.2023 r. dot. przedmiotowej umowy nr DTE-342/U/420/12/2021 o treści: „</w:t>
      </w:r>
      <w:r w:rsidRPr="00F0151C">
        <w:rPr>
          <w:rFonts w:ascii="Arial" w:hAnsi="Arial" w:cs="Arial"/>
          <w:i/>
          <w:iCs/>
          <w:color w:val="auto"/>
        </w:rPr>
        <w:t xml:space="preserve">w zakresie dokonywania okresowych kontroli stanu </w:t>
      </w:r>
      <w:r w:rsidRPr="00F0151C">
        <w:rPr>
          <w:rFonts w:ascii="Arial" w:hAnsi="Arial" w:cs="Arial"/>
          <w:i/>
          <w:iCs/>
          <w:color w:val="auto"/>
        </w:rPr>
        <w:lastRenderedPageBreak/>
        <w:t>technicznego sprawności instalacji hydrantowej, klap oddymiających i drzwi p.poż w</w:t>
      </w:r>
      <w:r w:rsidR="008F191A" w:rsidRPr="00F0151C">
        <w:rPr>
          <w:rFonts w:ascii="Arial" w:hAnsi="Arial" w:cs="Arial"/>
          <w:i/>
          <w:iCs/>
          <w:color w:val="auto"/>
        </w:rPr>
        <w:t> </w:t>
      </w:r>
      <w:r w:rsidRPr="00F0151C">
        <w:rPr>
          <w:rFonts w:ascii="Arial" w:hAnsi="Arial" w:cs="Arial"/>
          <w:i/>
          <w:iCs/>
          <w:color w:val="auto"/>
        </w:rPr>
        <w:t>budynkach wykonawca korzystał z usług przedsiębiorstwa świadczącego wymienione usługi specjalistyczne. Oświadczam, że wszystkie należności za usługi wykonane przez wskazaną firmę zostały uregulowane</w:t>
      </w:r>
      <w:r w:rsidRPr="00F0151C">
        <w:rPr>
          <w:rFonts w:ascii="Arial" w:hAnsi="Arial" w:cs="Arial"/>
          <w:color w:val="auto"/>
        </w:rPr>
        <w:t>.”</w:t>
      </w:r>
      <w:r w:rsidR="0041496C" w:rsidRPr="00F0151C">
        <w:rPr>
          <w:rFonts w:ascii="Arial" w:hAnsi="Arial" w:cs="Arial"/>
          <w:color w:val="auto"/>
        </w:rPr>
        <w:t xml:space="preserve"> </w:t>
      </w:r>
      <w:r w:rsidRPr="00F0151C">
        <w:rPr>
          <w:rFonts w:ascii="ArialMT" w:hAnsi="ArialMT" w:cs="ArialMT"/>
          <w:color w:val="auto"/>
        </w:rPr>
        <w:t xml:space="preserve">Zgodnie z </w:t>
      </w:r>
      <w:bookmarkStart w:id="45" w:name="_Hlk146104037"/>
      <w:r w:rsidRPr="00F0151C">
        <w:rPr>
          <w:rFonts w:ascii="ArialMT" w:hAnsi="ArialMT" w:cs="ArialMT"/>
          <w:color w:val="auto"/>
        </w:rPr>
        <w:t>§</w:t>
      </w:r>
      <w:bookmarkEnd w:id="45"/>
      <w:r w:rsidRPr="00F0151C">
        <w:rPr>
          <w:rFonts w:ascii="ArialMT" w:hAnsi="ArialMT" w:cs="ArialMT"/>
          <w:color w:val="auto"/>
        </w:rPr>
        <w:t xml:space="preserve"> 13 ust. 2 pkt 2.13 umowy: wykonawca płaci kary umowne w przypadku nie przedłożenia do zaakceptowania projektu umowy o</w:t>
      </w:r>
      <w:r w:rsidR="008F191A" w:rsidRPr="00F0151C">
        <w:rPr>
          <w:rFonts w:ascii="ArialMT" w:hAnsi="ArialMT" w:cs="ArialMT"/>
          <w:color w:val="auto"/>
        </w:rPr>
        <w:t> </w:t>
      </w:r>
      <w:r w:rsidRPr="00F0151C">
        <w:rPr>
          <w:rFonts w:ascii="ArialMT" w:hAnsi="ArialMT" w:cs="ArialMT"/>
          <w:color w:val="auto"/>
        </w:rPr>
        <w:t>podwykonawstwo, której przedmiotem są roboty budowlane lub projektu jej zmiany</w:t>
      </w:r>
      <w:r w:rsidR="00854D2B" w:rsidRPr="00F0151C">
        <w:rPr>
          <w:rFonts w:ascii="ArialMT" w:hAnsi="ArialMT" w:cs="ArialMT"/>
          <w:color w:val="auto"/>
        </w:rPr>
        <w:t>.</w:t>
      </w:r>
      <w:r w:rsidRPr="00F0151C">
        <w:rPr>
          <w:rFonts w:ascii="ArialMT" w:hAnsi="ArialMT" w:cs="ArialMT"/>
          <w:color w:val="auto"/>
        </w:rPr>
        <w:t xml:space="preserve"> Wykonawca zapłaci Zamawiającemu karę umowną w wysokości 300,00 zł za każdy dzień zwłoki.</w:t>
      </w:r>
      <w:r w:rsidR="0041496C" w:rsidRPr="00F0151C">
        <w:rPr>
          <w:rFonts w:ascii="Arial" w:hAnsi="Arial" w:cs="Arial"/>
          <w:color w:val="auto"/>
        </w:rPr>
        <w:t xml:space="preserve"> </w:t>
      </w:r>
      <w:r w:rsidRPr="00F0151C">
        <w:rPr>
          <w:rFonts w:ascii="ArialMT" w:hAnsi="ArialMT" w:cs="ArialMT"/>
          <w:color w:val="auto"/>
        </w:rPr>
        <w:t xml:space="preserve">Z załącznika 1a umowy wynika, że czas </w:t>
      </w:r>
      <w:r w:rsidRPr="00F0151C">
        <w:rPr>
          <w:rFonts w:ascii="ArialMT" w:hAnsi="ArialMT" w:cs="ArialMT"/>
          <w:color w:val="auto"/>
          <w:u w:val="single"/>
        </w:rPr>
        <w:t>reagowani</w:t>
      </w:r>
      <w:r w:rsidR="00FF0C81" w:rsidRPr="00F0151C">
        <w:rPr>
          <w:rFonts w:ascii="ArialMT" w:hAnsi="ArialMT" w:cs="ArialMT"/>
          <w:color w:val="auto"/>
          <w:u w:val="single"/>
        </w:rPr>
        <w:t xml:space="preserve">a </w:t>
      </w:r>
      <w:r w:rsidRPr="00F0151C">
        <w:rPr>
          <w:rFonts w:ascii="ArialMT" w:hAnsi="ArialMT" w:cs="ArialMT"/>
          <w:color w:val="auto"/>
        </w:rPr>
        <w:t xml:space="preserve">na zgłoszenie awarii </w:t>
      </w:r>
      <w:r w:rsidR="00854D2B" w:rsidRPr="00F0151C">
        <w:rPr>
          <w:rFonts w:ascii="ArialMT" w:hAnsi="ArialMT" w:cs="ArialMT"/>
          <w:color w:val="auto"/>
        </w:rPr>
        <w:t xml:space="preserve">wynosi </w:t>
      </w:r>
      <w:r w:rsidRPr="00F0151C">
        <w:rPr>
          <w:rFonts w:ascii="ArialMT" w:hAnsi="ArialMT" w:cs="ArialMT"/>
          <w:color w:val="auto"/>
        </w:rPr>
        <w:t>do 15 min. od momentu jego przyjęcia i skuteczne zabezpieczenie awarii</w:t>
      </w:r>
      <w:r w:rsidR="008F6345" w:rsidRPr="00F0151C">
        <w:rPr>
          <w:rFonts w:ascii="ArialMT" w:hAnsi="ArialMT" w:cs="ArialMT"/>
          <w:color w:val="auto"/>
        </w:rPr>
        <w:t xml:space="preserve"> powinno zostać przeprowadzone</w:t>
      </w:r>
      <w:r w:rsidRPr="00F0151C">
        <w:rPr>
          <w:rFonts w:ascii="ArialMT" w:hAnsi="ArialMT" w:cs="ArialMT"/>
          <w:color w:val="auto"/>
        </w:rPr>
        <w:t xml:space="preserve">, w czasie nie dłuższym niż 1 godzina od momentu przyjęcia zgłoszenia. </w:t>
      </w:r>
    </w:p>
    <w:p w14:paraId="041DC121" w14:textId="1EF37661"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 xml:space="preserve">Z protokołów zgłoszeń wynika kiedy dokonane było zgłoszenie i data i czas </w:t>
      </w:r>
      <w:r w:rsidRPr="00F0151C">
        <w:rPr>
          <w:rFonts w:ascii="ArialMT" w:hAnsi="ArialMT" w:cs="ArialMT"/>
          <w:color w:val="auto"/>
          <w:u w:val="single"/>
        </w:rPr>
        <w:t>wykonania</w:t>
      </w:r>
      <w:r w:rsidRPr="00F0151C">
        <w:rPr>
          <w:rFonts w:ascii="ArialMT" w:hAnsi="ArialMT" w:cs="ArialMT"/>
          <w:color w:val="auto"/>
        </w:rPr>
        <w:t xml:space="preserve"> prac. Trudno wobec tego zweryfikować czy dopełniono obowiązku </w:t>
      </w:r>
      <w:r w:rsidRPr="00F0151C">
        <w:rPr>
          <w:rFonts w:ascii="ArialMT" w:hAnsi="ArialMT" w:cs="ArialMT"/>
          <w:color w:val="auto"/>
          <w:u w:val="single"/>
        </w:rPr>
        <w:t xml:space="preserve">reakcji </w:t>
      </w:r>
      <w:r w:rsidRPr="00F0151C">
        <w:rPr>
          <w:rFonts w:ascii="ArialMT" w:hAnsi="ArialMT" w:cs="ArialMT"/>
          <w:color w:val="auto"/>
        </w:rPr>
        <w:t>na zgłoszenie w terminie 15 minut od jego przyjęcia. Weryfikacji poddano protokoły zgłoszeń ze stycznia 2022 r.  Z</w:t>
      </w:r>
      <w:r w:rsidR="008F191A" w:rsidRPr="00F0151C">
        <w:rPr>
          <w:rFonts w:ascii="ArialMT" w:hAnsi="ArialMT" w:cs="ArialMT"/>
          <w:color w:val="auto"/>
        </w:rPr>
        <w:t> </w:t>
      </w:r>
      <w:r w:rsidRPr="00F0151C">
        <w:rPr>
          <w:rFonts w:ascii="ArialMT" w:hAnsi="ArialMT" w:cs="ArialMT"/>
          <w:color w:val="auto"/>
        </w:rPr>
        <w:t xml:space="preserve">większości protokołów wynika, że czas między datą wykonania prac </w:t>
      </w:r>
      <w:r w:rsidR="00CE4E45" w:rsidRPr="00F0151C">
        <w:rPr>
          <w:rFonts w:ascii="ArialMT" w:hAnsi="ArialMT" w:cs="ArialMT"/>
          <w:color w:val="auto"/>
        </w:rPr>
        <w:t>związanych ze</w:t>
      </w:r>
      <w:r w:rsidRPr="00F0151C">
        <w:rPr>
          <w:rFonts w:ascii="ArialMT" w:hAnsi="ArialMT" w:cs="ArialMT"/>
          <w:color w:val="auto"/>
        </w:rPr>
        <w:t xml:space="preserve"> zgłoszeni</w:t>
      </w:r>
      <w:r w:rsidR="00CE4E45" w:rsidRPr="00F0151C">
        <w:rPr>
          <w:rFonts w:ascii="ArialMT" w:hAnsi="ArialMT" w:cs="ArialMT"/>
          <w:color w:val="auto"/>
        </w:rPr>
        <w:t>em</w:t>
      </w:r>
      <w:r w:rsidRPr="00F0151C">
        <w:rPr>
          <w:rFonts w:ascii="ArialMT" w:hAnsi="ArialMT" w:cs="ArialMT"/>
          <w:color w:val="auto"/>
        </w:rPr>
        <w:t xml:space="preserve"> w stosunku do daty zgłoszenia przekraczał jedną godzinę</w:t>
      </w:r>
      <w:r w:rsidR="00CE4E45" w:rsidRPr="00F0151C">
        <w:rPr>
          <w:rFonts w:ascii="ArialMT" w:hAnsi="ArialMT" w:cs="ArialMT"/>
          <w:color w:val="auto"/>
        </w:rPr>
        <w:t>,</w:t>
      </w:r>
      <w:r w:rsidRPr="00F0151C">
        <w:rPr>
          <w:rFonts w:ascii="ArialMT" w:hAnsi="ArialMT" w:cs="ArialMT"/>
          <w:color w:val="auto"/>
        </w:rPr>
        <w:t xml:space="preserve"> a nawet dzień lub więcej. </w:t>
      </w:r>
    </w:p>
    <w:p w14:paraId="62AC0DA8" w14:textId="77777777" w:rsidR="00CE4E45" w:rsidRPr="00F0151C" w:rsidRDefault="00CE4E45" w:rsidP="00191DDD">
      <w:pPr>
        <w:autoSpaceDE w:val="0"/>
        <w:autoSpaceDN w:val="0"/>
        <w:adjustRightInd w:val="0"/>
        <w:spacing w:after="0" w:line="360" w:lineRule="auto"/>
        <w:jc w:val="both"/>
        <w:rPr>
          <w:rFonts w:ascii="ArialMT" w:hAnsi="ArialMT" w:cs="ArialMT"/>
          <w:color w:val="auto"/>
        </w:rPr>
      </w:pPr>
    </w:p>
    <w:p w14:paraId="0486C3BE" w14:textId="7EABFE2F" w:rsidR="00191DDD" w:rsidRPr="00F0151C" w:rsidRDefault="00191DDD" w:rsidP="00191DDD">
      <w:pPr>
        <w:autoSpaceDE w:val="0"/>
        <w:autoSpaceDN w:val="0"/>
        <w:adjustRightInd w:val="0"/>
        <w:spacing w:after="0" w:line="360" w:lineRule="auto"/>
        <w:jc w:val="both"/>
        <w:rPr>
          <w:rFonts w:ascii="ArialMT" w:hAnsi="ArialMT" w:cs="ArialMT"/>
          <w:color w:val="auto"/>
          <w:u w:val="single"/>
        </w:rPr>
      </w:pPr>
      <w:r w:rsidRPr="00F0151C">
        <w:rPr>
          <w:rFonts w:ascii="ArialMT" w:hAnsi="ArialMT" w:cs="ArialMT"/>
          <w:color w:val="auto"/>
          <w:u w:val="single"/>
        </w:rPr>
        <w:t xml:space="preserve">Remont dwóch  lokali mieszkalnych przy ul. </w:t>
      </w:r>
      <w:r w:rsidR="00CE4E45" w:rsidRPr="00F0151C">
        <w:rPr>
          <w:rFonts w:ascii="ArialMT" w:hAnsi="ArialMT" w:cs="ArialMT"/>
          <w:color w:val="auto"/>
          <w:u w:val="single"/>
        </w:rPr>
        <w:t>Grota-</w:t>
      </w:r>
      <w:r w:rsidRPr="00F0151C">
        <w:rPr>
          <w:rFonts w:ascii="ArialMT" w:hAnsi="ArialMT" w:cs="ArialMT"/>
          <w:color w:val="auto"/>
          <w:u w:val="single"/>
        </w:rPr>
        <w:t>Roweckiego 35/31 i ul. Einsteina 7/7</w:t>
      </w:r>
    </w:p>
    <w:p w14:paraId="410FFEB4" w14:textId="77777777"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 xml:space="preserve">Zamówienia udzielono w trybie podstawowym bez negocjacji na podstawie art. 275 pkt 1 </w:t>
      </w:r>
      <w:proofErr w:type="spellStart"/>
      <w:r w:rsidRPr="00F0151C">
        <w:rPr>
          <w:rFonts w:ascii="ArialMT" w:hAnsi="ArialMT" w:cs="ArialMT"/>
          <w:color w:val="auto"/>
        </w:rPr>
        <w:t>Pzp</w:t>
      </w:r>
      <w:proofErr w:type="spellEnd"/>
      <w:r w:rsidRPr="00F0151C">
        <w:rPr>
          <w:rFonts w:ascii="ArialMT" w:hAnsi="ArialMT" w:cs="ArialMT"/>
          <w:color w:val="auto"/>
        </w:rPr>
        <w:t xml:space="preserve">. z możliwością składania ofert częściowych. </w:t>
      </w:r>
    </w:p>
    <w:p w14:paraId="1DAB1F73" w14:textId="79DC011F"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 xml:space="preserve">Zamówienie wszczęto na podstawie </w:t>
      </w:r>
      <w:bookmarkStart w:id="46" w:name="_Hlk146527231"/>
      <w:r w:rsidRPr="00F0151C">
        <w:rPr>
          <w:rFonts w:ascii="ArialMT" w:hAnsi="ArialMT" w:cs="ArialMT"/>
          <w:color w:val="auto"/>
        </w:rPr>
        <w:t xml:space="preserve">wniosku z 4.10.2021 r. dot. mieszkania przy ul. </w:t>
      </w:r>
      <w:r w:rsidR="00CE4E45" w:rsidRPr="00F0151C">
        <w:rPr>
          <w:rFonts w:ascii="ArialMT" w:hAnsi="ArialMT" w:cs="ArialMT"/>
          <w:color w:val="auto"/>
        </w:rPr>
        <w:t>Grota -</w:t>
      </w:r>
      <w:r w:rsidRPr="00F0151C">
        <w:rPr>
          <w:rFonts w:ascii="ArialMT" w:hAnsi="ArialMT" w:cs="ArialMT"/>
          <w:color w:val="auto"/>
        </w:rPr>
        <w:t>Roweckiego 35/31 (zadanie nr 1) i wniosku z 30.09.2021 r. dot. mieszkania przy ul. Einsteina 7/7 (zadanie 2).</w:t>
      </w:r>
    </w:p>
    <w:p w14:paraId="48E2535F" w14:textId="77777777"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 xml:space="preserve">Wartość zamówienia oszacowano </w:t>
      </w:r>
      <w:bookmarkStart w:id="47" w:name="_Hlk146529850"/>
      <w:r w:rsidRPr="00F0151C">
        <w:rPr>
          <w:rFonts w:ascii="ArialMT" w:hAnsi="ArialMT" w:cs="ArialMT"/>
          <w:color w:val="auto"/>
        </w:rPr>
        <w:t xml:space="preserve">na podstawie kosztorysów  inwestorskich na </w:t>
      </w:r>
      <w:bookmarkEnd w:id="47"/>
      <w:r w:rsidRPr="00F0151C">
        <w:rPr>
          <w:rFonts w:ascii="ArialMT" w:hAnsi="ArialMT" w:cs="ArialMT"/>
          <w:color w:val="auto"/>
        </w:rPr>
        <w:t>kwotę 47 723,38 zł w tym zadanie nr 1 - 24 598,19 zł</w:t>
      </w:r>
      <w:bookmarkEnd w:id="46"/>
      <w:r w:rsidRPr="00F0151C">
        <w:rPr>
          <w:rFonts w:ascii="ArialMT" w:hAnsi="ArialMT" w:cs="ArialMT"/>
          <w:color w:val="auto"/>
        </w:rPr>
        <w:t>, a zadanie nr 2  - 23 125,19 zł.</w:t>
      </w:r>
    </w:p>
    <w:p w14:paraId="2DA54020" w14:textId="77777777"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 xml:space="preserve">Ogłoszenie o zamówieniu zostało zamieszczone w BZP 1.02.2022 r. z terminem składania ofert przy użyciu środków komunikacji elektronicznej do 16.02.2022 r. do godz. 10:00. </w:t>
      </w:r>
    </w:p>
    <w:p w14:paraId="3799D295" w14:textId="1BC017EC" w:rsidR="00191DDD" w:rsidRPr="00F0151C" w:rsidRDefault="00191DDD" w:rsidP="00191DDD">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Zamawiający przed otwarciem ofert udostępnił kwotę jaką zamierza przeznaczyć na sfinansowanie zamówienia tj.: zadanie nr 1 – 25 566,04 zł brutto, zadanie nr 2 – 24</w:t>
      </w:r>
      <w:r w:rsidR="004A7B7D" w:rsidRPr="00F0151C">
        <w:rPr>
          <w:rFonts w:ascii="Arial" w:hAnsi="Arial" w:cs="Arial"/>
          <w:color w:val="auto"/>
        </w:rPr>
        <w:t> </w:t>
      </w:r>
      <w:r w:rsidRPr="00F0151C">
        <w:rPr>
          <w:rFonts w:ascii="Arial" w:hAnsi="Arial" w:cs="Arial"/>
          <w:color w:val="auto"/>
        </w:rPr>
        <w:t>975,20</w:t>
      </w:r>
      <w:r w:rsidR="004A7B7D" w:rsidRPr="00F0151C">
        <w:rPr>
          <w:rFonts w:ascii="Arial" w:hAnsi="Arial" w:cs="Arial"/>
          <w:color w:val="auto"/>
        </w:rPr>
        <w:t> zł </w:t>
      </w:r>
      <w:r w:rsidRPr="00F0151C">
        <w:rPr>
          <w:rFonts w:ascii="Arial" w:hAnsi="Arial" w:cs="Arial"/>
          <w:color w:val="auto"/>
        </w:rPr>
        <w:t>brutto. Do upływu terminu składania ofert złożone zostały cztery oferty na zadanie 1 i pięć ofert na zadanie 2. W postępowaniu nie odrzucono żadnej oferty. Wybrano ofertę z</w:t>
      </w:r>
      <w:r w:rsidR="008F191A" w:rsidRPr="00F0151C">
        <w:rPr>
          <w:rFonts w:ascii="Arial" w:hAnsi="Arial" w:cs="Arial"/>
          <w:color w:val="auto"/>
        </w:rPr>
        <w:t> </w:t>
      </w:r>
      <w:r w:rsidRPr="00F0151C">
        <w:rPr>
          <w:rFonts w:ascii="Arial" w:hAnsi="Arial" w:cs="Arial"/>
          <w:color w:val="auto"/>
        </w:rPr>
        <w:t>największą ilością punktów z zastosowanym kryterium oceny cena 60%, okres udzielonej gwarancji na zabudowane urządzenia, armaturę i osprzęt 20%, okres rękojmi za wady i</w:t>
      </w:r>
      <w:r w:rsidR="008F191A" w:rsidRPr="00F0151C">
        <w:rPr>
          <w:rFonts w:ascii="Arial" w:hAnsi="Arial" w:cs="Arial"/>
          <w:color w:val="auto"/>
        </w:rPr>
        <w:t> </w:t>
      </w:r>
      <w:r w:rsidRPr="00F0151C">
        <w:rPr>
          <w:rFonts w:ascii="Arial" w:hAnsi="Arial" w:cs="Arial"/>
          <w:color w:val="auto"/>
        </w:rPr>
        <w:t xml:space="preserve">gwarancji na roboty 20 % do: </w:t>
      </w:r>
    </w:p>
    <w:p w14:paraId="2330787F" w14:textId="3652AD40" w:rsidR="00191DDD" w:rsidRPr="00F0151C" w:rsidRDefault="00191DDD" w:rsidP="00326634">
      <w:pPr>
        <w:pStyle w:val="Akapitzlist"/>
        <w:widowControl/>
        <w:numPr>
          <w:ilvl w:val="0"/>
          <w:numId w:val="60"/>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t>zadania nr 1 ofertę nr 5 z ceną brutto 24 364,02 zł, okresem udzielonej gwarancji 60</w:t>
      </w:r>
      <w:r w:rsidR="008C481C" w:rsidRPr="00F0151C">
        <w:rPr>
          <w:rFonts w:ascii="Arial" w:hAnsi="Arial" w:cs="Arial"/>
          <w:color w:val="auto"/>
          <w:sz w:val="22"/>
          <w:szCs w:val="22"/>
          <w:lang w:val="pl-PL"/>
        </w:rPr>
        <w:t> </w:t>
      </w:r>
      <w:r w:rsidRPr="00F0151C">
        <w:rPr>
          <w:rFonts w:ascii="Arial" w:hAnsi="Arial" w:cs="Arial"/>
          <w:color w:val="auto"/>
          <w:sz w:val="22"/>
          <w:szCs w:val="22"/>
          <w:lang w:val="pl-PL"/>
        </w:rPr>
        <w:t>m-</w:t>
      </w:r>
      <w:proofErr w:type="spellStart"/>
      <w:r w:rsidRPr="00F0151C">
        <w:rPr>
          <w:rFonts w:ascii="Arial" w:hAnsi="Arial" w:cs="Arial"/>
          <w:color w:val="auto"/>
          <w:sz w:val="22"/>
          <w:szCs w:val="22"/>
          <w:lang w:val="pl-PL"/>
        </w:rPr>
        <w:t>cy</w:t>
      </w:r>
      <w:proofErr w:type="spellEnd"/>
      <w:r w:rsidRPr="00F0151C">
        <w:rPr>
          <w:rFonts w:ascii="Arial" w:hAnsi="Arial" w:cs="Arial"/>
          <w:color w:val="auto"/>
          <w:sz w:val="22"/>
          <w:szCs w:val="22"/>
          <w:lang w:val="pl-PL"/>
        </w:rPr>
        <w:t xml:space="preserve"> i okresem rękojmi i gwarancji 36 m-</w:t>
      </w:r>
      <w:proofErr w:type="spellStart"/>
      <w:r w:rsidRPr="00F0151C">
        <w:rPr>
          <w:rFonts w:ascii="Arial" w:hAnsi="Arial" w:cs="Arial"/>
          <w:color w:val="auto"/>
          <w:sz w:val="22"/>
          <w:szCs w:val="22"/>
          <w:lang w:val="pl-PL"/>
        </w:rPr>
        <w:t>cy</w:t>
      </w:r>
      <w:proofErr w:type="spellEnd"/>
      <w:r w:rsidRPr="00F0151C">
        <w:rPr>
          <w:rFonts w:ascii="Arial" w:hAnsi="Arial" w:cs="Arial"/>
          <w:color w:val="auto"/>
          <w:sz w:val="22"/>
          <w:szCs w:val="22"/>
          <w:lang w:val="pl-PL"/>
        </w:rPr>
        <w:t>,</w:t>
      </w:r>
    </w:p>
    <w:p w14:paraId="158B55DD" w14:textId="70B6B4BA" w:rsidR="00191DDD" w:rsidRPr="00F0151C" w:rsidRDefault="00191DDD" w:rsidP="00326634">
      <w:pPr>
        <w:pStyle w:val="Akapitzlist"/>
        <w:widowControl/>
        <w:numPr>
          <w:ilvl w:val="0"/>
          <w:numId w:val="60"/>
        </w:numPr>
        <w:suppressAutoHyphens w:val="0"/>
        <w:overflowPunct/>
        <w:autoSpaceDE w:val="0"/>
        <w:autoSpaceDN w:val="0"/>
        <w:adjustRightInd w:val="0"/>
        <w:textAlignment w:val="auto"/>
        <w:rPr>
          <w:rFonts w:ascii="Arial" w:hAnsi="Arial" w:cs="Arial"/>
          <w:color w:val="auto"/>
          <w:sz w:val="22"/>
          <w:szCs w:val="22"/>
          <w:lang w:val="pl-PL"/>
        </w:rPr>
      </w:pPr>
      <w:r w:rsidRPr="00F0151C">
        <w:rPr>
          <w:rFonts w:ascii="Arial" w:hAnsi="Arial" w:cs="Arial"/>
          <w:color w:val="auto"/>
          <w:sz w:val="22"/>
          <w:szCs w:val="22"/>
          <w:lang w:val="pl-PL"/>
        </w:rPr>
        <w:lastRenderedPageBreak/>
        <w:t xml:space="preserve">zadanie nr 2 ofertę nr 2 z ceną brutto 19 506,31 zł,  okresem udzielonej gwarancji 60 </w:t>
      </w:r>
      <w:r w:rsidR="008C481C" w:rsidRPr="00F0151C">
        <w:rPr>
          <w:rFonts w:ascii="Arial" w:hAnsi="Arial" w:cs="Arial"/>
          <w:color w:val="auto"/>
          <w:sz w:val="22"/>
          <w:szCs w:val="22"/>
          <w:lang w:val="pl-PL"/>
        </w:rPr>
        <w:t> </w:t>
      </w:r>
      <w:r w:rsidRPr="00F0151C">
        <w:rPr>
          <w:rFonts w:ascii="Arial" w:hAnsi="Arial" w:cs="Arial"/>
          <w:color w:val="auto"/>
          <w:sz w:val="22"/>
          <w:szCs w:val="22"/>
          <w:lang w:val="pl-PL"/>
        </w:rPr>
        <w:t>m-</w:t>
      </w:r>
      <w:proofErr w:type="spellStart"/>
      <w:r w:rsidRPr="00F0151C">
        <w:rPr>
          <w:rFonts w:ascii="Arial" w:hAnsi="Arial" w:cs="Arial"/>
          <w:color w:val="auto"/>
          <w:sz w:val="22"/>
          <w:szCs w:val="22"/>
          <w:lang w:val="pl-PL"/>
        </w:rPr>
        <w:t>cy</w:t>
      </w:r>
      <w:proofErr w:type="spellEnd"/>
      <w:r w:rsidRPr="00F0151C">
        <w:rPr>
          <w:rFonts w:ascii="Arial" w:hAnsi="Arial" w:cs="Arial"/>
          <w:color w:val="auto"/>
          <w:sz w:val="22"/>
          <w:szCs w:val="22"/>
          <w:lang w:val="pl-PL"/>
        </w:rPr>
        <w:t xml:space="preserve"> i okresem rękojmi i gwarancji 36 m-</w:t>
      </w:r>
      <w:proofErr w:type="spellStart"/>
      <w:r w:rsidRPr="00F0151C">
        <w:rPr>
          <w:rFonts w:ascii="Arial" w:hAnsi="Arial" w:cs="Arial"/>
          <w:color w:val="auto"/>
          <w:sz w:val="22"/>
          <w:szCs w:val="22"/>
          <w:lang w:val="pl-PL"/>
        </w:rPr>
        <w:t>cy</w:t>
      </w:r>
      <w:proofErr w:type="spellEnd"/>
      <w:r w:rsidRPr="00F0151C">
        <w:rPr>
          <w:rFonts w:ascii="Arial" w:hAnsi="Arial" w:cs="Arial"/>
          <w:color w:val="auto"/>
          <w:sz w:val="22"/>
          <w:szCs w:val="22"/>
          <w:lang w:val="pl-PL"/>
        </w:rPr>
        <w:t xml:space="preserve">. </w:t>
      </w:r>
    </w:p>
    <w:p w14:paraId="1D69BBD4" w14:textId="083621D6" w:rsidR="00191DDD" w:rsidRPr="00F0151C" w:rsidRDefault="00191DDD" w:rsidP="0014112B">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 xml:space="preserve">Z ww. wykonawcami zawarto umowy nr </w:t>
      </w:r>
      <w:bookmarkStart w:id="48" w:name="_Hlk146546719"/>
      <w:r w:rsidRPr="00F0151C">
        <w:rPr>
          <w:rFonts w:ascii="Arial" w:hAnsi="Arial" w:cs="Arial"/>
          <w:color w:val="auto"/>
        </w:rPr>
        <w:t xml:space="preserve">DZI-342/R/37/03/2022 </w:t>
      </w:r>
      <w:bookmarkEnd w:id="48"/>
      <w:r w:rsidRPr="00F0151C">
        <w:rPr>
          <w:rFonts w:ascii="Arial" w:hAnsi="Arial" w:cs="Arial"/>
          <w:color w:val="auto"/>
        </w:rPr>
        <w:t>z 21.03.2022 r. na realizację zadania nr 2 z terminem realizacji do 21.05.2022</w:t>
      </w:r>
      <w:r w:rsidR="00CE4E45" w:rsidRPr="00F0151C">
        <w:rPr>
          <w:rFonts w:ascii="Arial" w:hAnsi="Arial" w:cs="Arial"/>
          <w:color w:val="auto"/>
        </w:rPr>
        <w:t xml:space="preserve"> r.</w:t>
      </w:r>
      <w:r w:rsidRPr="00F0151C">
        <w:rPr>
          <w:rFonts w:ascii="Arial" w:hAnsi="Arial" w:cs="Arial"/>
          <w:color w:val="auto"/>
        </w:rPr>
        <w:t xml:space="preserve"> i  nr </w:t>
      </w:r>
      <w:bookmarkStart w:id="49" w:name="_Hlk146537357"/>
      <w:r w:rsidRPr="00F0151C">
        <w:rPr>
          <w:rFonts w:ascii="Arial" w:hAnsi="Arial" w:cs="Arial"/>
          <w:color w:val="auto"/>
        </w:rPr>
        <w:t xml:space="preserve">DZI-342/R/41/03/2022 </w:t>
      </w:r>
      <w:bookmarkEnd w:id="49"/>
      <w:r w:rsidRPr="00F0151C">
        <w:rPr>
          <w:rFonts w:ascii="Arial" w:hAnsi="Arial" w:cs="Arial"/>
          <w:color w:val="auto"/>
        </w:rPr>
        <w:t>z 23.03.2022</w:t>
      </w:r>
      <w:r w:rsidR="008C481C" w:rsidRPr="00F0151C">
        <w:rPr>
          <w:rFonts w:ascii="Arial" w:hAnsi="Arial" w:cs="Arial"/>
          <w:color w:val="auto"/>
        </w:rPr>
        <w:t> </w:t>
      </w:r>
      <w:r w:rsidRPr="00F0151C">
        <w:rPr>
          <w:rFonts w:ascii="Arial" w:hAnsi="Arial" w:cs="Arial"/>
          <w:color w:val="auto"/>
        </w:rPr>
        <w:t xml:space="preserve">r. na realizację zadania nr 1   z  terminem realizacji do 23.05.2022 r. </w:t>
      </w:r>
    </w:p>
    <w:p w14:paraId="7C5784DC" w14:textId="77777777" w:rsidR="00191DDD" w:rsidRPr="00F0151C" w:rsidRDefault="00191DDD" w:rsidP="0014112B">
      <w:pPr>
        <w:autoSpaceDE w:val="0"/>
        <w:autoSpaceDN w:val="0"/>
        <w:adjustRightInd w:val="0"/>
        <w:spacing w:after="0" w:line="360" w:lineRule="auto"/>
        <w:jc w:val="both"/>
        <w:rPr>
          <w:rFonts w:ascii="Arial" w:hAnsi="Arial" w:cs="Arial"/>
          <w:color w:val="auto"/>
        </w:rPr>
      </w:pPr>
      <w:r w:rsidRPr="00F0151C">
        <w:rPr>
          <w:rFonts w:ascii="Arial" w:hAnsi="Arial" w:cs="Arial"/>
          <w:color w:val="auto"/>
        </w:rPr>
        <w:t xml:space="preserve">Ogłoszenie o wyniku postępowania umieszczono BZP 28.03.2022 r. </w:t>
      </w:r>
    </w:p>
    <w:p w14:paraId="4490EBC0" w14:textId="35E2F4AD" w:rsidR="00191DDD" w:rsidRPr="00F0151C" w:rsidRDefault="00191DDD" w:rsidP="0014112B">
      <w:pPr>
        <w:autoSpaceDE w:val="0"/>
        <w:autoSpaceDN w:val="0"/>
        <w:adjustRightInd w:val="0"/>
        <w:spacing w:after="0" w:line="360" w:lineRule="auto"/>
        <w:jc w:val="both"/>
        <w:rPr>
          <w:rFonts w:ascii="ArialMT" w:hAnsi="ArialMT" w:cs="ArialMT"/>
          <w:color w:val="auto"/>
        </w:rPr>
      </w:pPr>
      <w:r w:rsidRPr="00F0151C">
        <w:rPr>
          <w:rFonts w:ascii="Arial" w:hAnsi="Arial" w:cs="Arial"/>
          <w:color w:val="auto"/>
        </w:rPr>
        <w:t>Umowę nr DZI-342/R/41/03/2022 aneksowano 25</w:t>
      </w:r>
      <w:r w:rsidRPr="00F0151C">
        <w:rPr>
          <w:rFonts w:ascii="ArialMT" w:hAnsi="ArialMT" w:cs="ArialMT"/>
          <w:color w:val="auto"/>
        </w:rPr>
        <w:t>.04.2022 r. w związku z koniecznością wykonania robót dodatkowych tj. nadproży, wykucia i montażu podokienników i okna, których w takim zakresie nie uwzględniał kosztorys inwestorski. Łączna wartość zmian zgodnie z</w:t>
      </w:r>
      <w:r w:rsidR="008F191A" w:rsidRPr="00F0151C">
        <w:rPr>
          <w:rFonts w:ascii="ArialMT" w:hAnsi="ArialMT" w:cs="ArialMT"/>
          <w:color w:val="auto"/>
        </w:rPr>
        <w:t> </w:t>
      </w:r>
      <w:r w:rsidRPr="00F0151C">
        <w:rPr>
          <w:rFonts w:ascii="ArialMT" w:hAnsi="ArialMT" w:cs="ArialMT"/>
          <w:color w:val="auto"/>
        </w:rPr>
        <w:t>kosztorysem wyniosła 1 406,08 zł netto i nie przekraczała 15% wartości określonej w</w:t>
      </w:r>
      <w:r w:rsidR="008F191A" w:rsidRPr="00F0151C">
        <w:rPr>
          <w:rFonts w:ascii="ArialMT" w:hAnsi="ArialMT" w:cs="ArialMT"/>
          <w:color w:val="auto"/>
        </w:rPr>
        <w:t> </w:t>
      </w:r>
      <w:r w:rsidRPr="00F0151C">
        <w:rPr>
          <w:rFonts w:ascii="ArialMT" w:hAnsi="ArialMT" w:cs="ArialMT"/>
          <w:color w:val="auto"/>
        </w:rPr>
        <w:t>umowie. Na podstawie protokołu końcowego odbioru technicznego robót z 23.05.2022 r. i</w:t>
      </w:r>
      <w:r w:rsidR="008F191A" w:rsidRPr="00F0151C">
        <w:rPr>
          <w:rFonts w:ascii="ArialMT" w:hAnsi="ArialMT" w:cs="ArialMT"/>
          <w:color w:val="auto"/>
        </w:rPr>
        <w:t> </w:t>
      </w:r>
      <w:r w:rsidRPr="00F0151C">
        <w:rPr>
          <w:rFonts w:ascii="ArialMT" w:hAnsi="ArialMT" w:cs="ArialMT"/>
          <w:color w:val="auto"/>
        </w:rPr>
        <w:t xml:space="preserve">faktury nr 006/22 z 25.05.2022 r. poniesiono koszt 25 882,59 zł. </w:t>
      </w:r>
      <w:r w:rsidRPr="00F0151C">
        <w:rPr>
          <w:rFonts w:ascii="ArialMT" w:hAnsi="ArialMT" w:cs="ArialMT"/>
          <w:b/>
          <w:bCs/>
          <w:color w:val="auto"/>
        </w:rPr>
        <w:t>Ogłoszenie o wykonaniu umowy opublikowano dopiero 8.07.2022 r.</w:t>
      </w:r>
      <w:r w:rsidRPr="00F0151C">
        <w:rPr>
          <w:rFonts w:ascii="ArialMT" w:hAnsi="ArialMT" w:cs="ArialMT"/>
          <w:color w:val="auto"/>
        </w:rPr>
        <w:t xml:space="preserve"> </w:t>
      </w:r>
    </w:p>
    <w:p w14:paraId="06B0FA19" w14:textId="3A4E6E20" w:rsidR="00191DDD" w:rsidRPr="00F0151C" w:rsidRDefault="00191DDD" w:rsidP="0014112B">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Zakres prac wynikających z umowy DZI-342/R/37/03/2022 odebrano 13.04.2022 r. zgodnie z protokołem odbioru technicznego robót i  na podstawie faktury nr 0004/4/22/FVS z</w:t>
      </w:r>
      <w:r w:rsidR="008F191A" w:rsidRPr="00F0151C">
        <w:rPr>
          <w:rFonts w:ascii="ArialMT" w:hAnsi="ArialMT" w:cs="ArialMT"/>
          <w:color w:val="auto"/>
        </w:rPr>
        <w:t> </w:t>
      </w:r>
      <w:r w:rsidRPr="00F0151C">
        <w:rPr>
          <w:rFonts w:ascii="ArialMT" w:hAnsi="ArialMT" w:cs="ArialMT"/>
          <w:color w:val="auto"/>
        </w:rPr>
        <w:t xml:space="preserve">14.04.2022 r. poniesiono koszt w wysokości 19 505,04 zł. </w:t>
      </w:r>
      <w:r w:rsidRPr="00F0151C">
        <w:rPr>
          <w:rFonts w:ascii="Arial" w:eastAsia="Times New Roman" w:hAnsi="Arial" w:cs="Arial"/>
          <w:color w:val="auto"/>
          <w:kern w:val="36"/>
        </w:rPr>
        <w:t xml:space="preserve">Ogłoszenie o wykonaniu umowy zostało opublikowane 28.04.2022 r. </w:t>
      </w:r>
    </w:p>
    <w:p w14:paraId="4E774049" w14:textId="77777777" w:rsidR="00191DDD" w:rsidRPr="00F0151C" w:rsidRDefault="00191DDD" w:rsidP="00191DDD">
      <w:pPr>
        <w:autoSpaceDE w:val="0"/>
        <w:autoSpaceDN w:val="0"/>
        <w:adjustRightInd w:val="0"/>
        <w:spacing w:after="0" w:line="360" w:lineRule="auto"/>
        <w:jc w:val="both"/>
        <w:rPr>
          <w:rFonts w:ascii="ArialMT" w:hAnsi="ArialMT" w:cs="ArialMT"/>
          <w:color w:val="auto"/>
          <w:u w:val="single"/>
        </w:rPr>
      </w:pPr>
    </w:p>
    <w:p w14:paraId="4FEA1AFE" w14:textId="77777777" w:rsidR="00191DDD" w:rsidRPr="00F0151C" w:rsidRDefault="00191DDD" w:rsidP="00191DDD">
      <w:pPr>
        <w:autoSpaceDE w:val="0"/>
        <w:autoSpaceDN w:val="0"/>
        <w:adjustRightInd w:val="0"/>
        <w:spacing w:after="0" w:line="360" w:lineRule="auto"/>
        <w:jc w:val="both"/>
        <w:rPr>
          <w:rFonts w:ascii="ArialMT" w:hAnsi="ArialMT" w:cs="ArialMT"/>
          <w:color w:val="auto"/>
          <w:u w:val="single"/>
        </w:rPr>
      </w:pPr>
      <w:r w:rsidRPr="00F0151C">
        <w:rPr>
          <w:rFonts w:ascii="ArialMT" w:hAnsi="ArialMT" w:cs="ArialMT"/>
          <w:color w:val="auto"/>
          <w:u w:val="single"/>
        </w:rPr>
        <w:t xml:space="preserve">Remont dwóch  lokali mieszkalnych przy </w:t>
      </w:r>
      <w:bookmarkStart w:id="50" w:name="_Hlk146612277"/>
      <w:r w:rsidRPr="00F0151C">
        <w:rPr>
          <w:rFonts w:ascii="ArialMT" w:hAnsi="ArialMT" w:cs="ArialMT"/>
          <w:color w:val="auto"/>
          <w:u w:val="single"/>
        </w:rPr>
        <w:t xml:space="preserve">ul. Biblioteczna 34/85  i ul. </w:t>
      </w:r>
      <w:proofErr w:type="spellStart"/>
      <w:r w:rsidRPr="00F0151C">
        <w:rPr>
          <w:rFonts w:ascii="ArialMT" w:hAnsi="ArialMT" w:cs="ArialMT"/>
          <w:color w:val="auto"/>
          <w:u w:val="single"/>
        </w:rPr>
        <w:t>Burschego</w:t>
      </w:r>
      <w:proofErr w:type="spellEnd"/>
      <w:r w:rsidRPr="00F0151C">
        <w:rPr>
          <w:rFonts w:ascii="ArialMT" w:hAnsi="ArialMT" w:cs="ArialMT"/>
          <w:color w:val="auto"/>
          <w:u w:val="single"/>
        </w:rPr>
        <w:t xml:space="preserve"> 10/5</w:t>
      </w:r>
    </w:p>
    <w:bookmarkEnd w:id="50"/>
    <w:p w14:paraId="631A6062" w14:textId="77777777"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 xml:space="preserve">Zamówienia udzielono w trybie podstawowym bez negocjacji na podstawie art. 275 pkt 1 </w:t>
      </w:r>
      <w:proofErr w:type="spellStart"/>
      <w:r w:rsidRPr="00F0151C">
        <w:rPr>
          <w:rFonts w:ascii="ArialMT" w:hAnsi="ArialMT" w:cs="ArialMT"/>
          <w:color w:val="auto"/>
        </w:rPr>
        <w:t>Pzp</w:t>
      </w:r>
      <w:proofErr w:type="spellEnd"/>
      <w:r w:rsidRPr="00F0151C">
        <w:rPr>
          <w:rFonts w:ascii="ArialMT" w:hAnsi="ArialMT" w:cs="ArialMT"/>
          <w:color w:val="auto"/>
        </w:rPr>
        <w:t xml:space="preserve">. z możliwością składania ofert częściowych. </w:t>
      </w:r>
    </w:p>
    <w:p w14:paraId="73D8DC69" w14:textId="4F62BAD1" w:rsidR="00191DDD" w:rsidRPr="00F0151C" w:rsidRDefault="00191DDD" w:rsidP="00191DDD">
      <w:pPr>
        <w:autoSpaceDE w:val="0"/>
        <w:autoSpaceDN w:val="0"/>
        <w:adjustRightInd w:val="0"/>
        <w:spacing w:after="0" w:line="360" w:lineRule="auto"/>
        <w:jc w:val="both"/>
        <w:rPr>
          <w:rFonts w:ascii="ArialMT" w:hAnsi="ArialMT" w:cs="ArialMT"/>
          <w:color w:val="auto"/>
          <w:u w:val="single"/>
        </w:rPr>
      </w:pPr>
      <w:r w:rsidRPr="00F0151C">
        <w:rPr>
          <w:rFonts w:ascii="ArialMT" w:hAnsi="ArialMT" w:cs="ArialMT"/>
          <w:color w:val="auto"/>
        </w:rPr>
        <w:t>Zamówienie wszczęto na podstawie wniosków z 8.10.2021 r. dot. mieszkania przy ul.</w:t>
      </w:r>
      <w:r w:rsidR="008F191A" w:rsidRPr="00F0151C">
        <w:rPr>
          <w:rFonts w:ascii="ArialMT" w:hAnsi="ArialMT" w:cs="ArialMT"/>
          <w:color w:val="auto"/>
        </w:rPr>
        <w:t> </w:t>
      </w:r>
      <w:r w:rsidRPr="00F0151C">
        <w:rPr>
          <w:rFonts w:ascii="ArialMT" w:hAnsi="ArialMT" w:cs="ArialMT"/>
          <w:color w:val="auto"/>
        </w:rPr>
        <w:t xml:space="preserve">Biblioteczna 34/85   (zadanie nr 1) i dot. mieszkania przy ul. </w:t>
      </w:r>
      <w:proofErr w:type="spellStart"/>
      <w:r w:rsidRPr="00F0151C">
        <w:rPr>
          <w:rFonts w:ascii="ArialMT" w:hAnsi="ArialMT" w:cs="ArialMT"/>
          <w:color w:val="auto"/>
        </w:rPr>
        <w:t>Burschego</w:t>
      </w:r>
      <w:proofErr w:type="spellEnd"/>
      <w:r w:rsidRPr="00F0151C">
        <w:rPr>
          <w:rFonts w:ascii="ArialMT" w:hAnsi="ArialMT" w:cs="ArialMT"/>
          <w:color w:val="auto"/>
        </w:rPr>
        <w:t xml:space="preserve"> 10/5 (zadanie 2).</w:t>
      </w:r>
      <w:r w:rsidR="00354FD3" w:rsidRPr="00F0151C">
        <w:rPr>
          <w:rFonts w:ascii="ArialMT" w:hAnsi="ArialMT" w:cs="ArialMT"/>
          <w:color w:val="auto"/>
          <w:u w:val="single"/>
        </w:rPr>
        <w:t xml:space="preserve"> </w:t>
      </w:r>
      <w:r w:rsidRPr="00F0151C">
        <w:rPr>
          <w:rFonts w:ascii="ArialMT" w:hAnsi="ArialMT" w:cs="ArialMT"/>
          <w:color w:val="auto"/>
        </w:rPr>
        <w:t>Wartość zamówienia oszacowano na podstawie kosztorysów  inwestorskich na kwotę 51 131,16 zł w tym zadanie nr 1 – 21 150,73 zł, a zadanie nr 2  - 29 980,43 zł (zakres podstawowy 26 778,50 zł plus zakres rozszerzony 3 201,93 zł).</w:t>
      </w:r>
    </w:p>
    <w:p w14:paraId="618C8BB9" w14:textId="77777777"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 xml:space="preserve">Ogłoszenie o zamówieniu zostało zamieszczone w BZP 07.02.2022 r. z terminem składania ofert przy użyciu środków komunikacji elektronicznej do 2.03.2022 r. do godz. 9:00. </w:t>
      </w:r>
    </w:p>
    <w:p w14:paraId="67D9217B" w14:textId="2E923F6A"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Zamawiający przed otwarciem ofert udostępnił kwotę jaką zamierza przeznaczyć na sfinansowanie zamówienia tj.: zadanie nr 1 – 22 842,79 zł brutto, zadanie nr 2 – 32 378,86</w:t>
      </w:r>
      <w:r w:rsidR="008C481C" w:rsidRPr="00F0151C">
        <w:rPr>
          <w:rFonts w:ascii="ArialMT" w:hAnsi="ArialMT" w:cs="ArialMT"/>
          <w:color w:val="auto"/>
        </w:rPr>
        <w:t> </w:t>
      </w:r>
      <w:r w:rsidR="00354FD3" w:rsidRPr="00F0151C">
        <w:rPr>
          <w:rFonts w:ascii="ArialMT" w:hAnsi="ArialMT" w:cs="ArialMT"/>
          <w:color w:val="auto"/>
        </w:rPr>
        <w:t>zł</w:t>
      </w:r>
      <w:r w:rsidR="008C481C" w:rsidRPr="00F0151C">
        <w:rPr>
          <w:rFonts w:ascii="ArialMT" w:hAnsi="ArialMT" w:cs="ArialMT"/>
          <w:color w:val="auto"/>
        </w:rPr>
        <w:t> </w:t>
      </w:r>
      <w:r w:rsidRPr="00F0151C">
        <w:rPr>
          <w:rFonts w:ascii="ArialMT" w:hAnsi="ArialMT" w:cs="ArialMT"/>
          <w:color w:val="auto"/>
        </w:rPr>
        <w:t>brutto. Do upływu terminu składania ofert złożone zostały dwie oferty na zadanie 1 i dwie ofert</w:t>
      </w:r>
      <w:r w:rsidR="00354FD3" w:rsidRPr="00F0151C">
        <w:rPr>
          <w:rFonts w:ascii="ArialMT" w:hAnsi="ArialMT" w:cs="ArialMT"/>
          <w:color w:val="auto"/>
        </w:rPr>
        <w:t>y</w:t>
      </w:r>
      <w:r w:rsidRPr="00F0151C">
        <w:rPr>
          <w:rFonts w:ascii="ArialMT" w:hAnsi="ArialMT" w:cs="ArialMT"/>
          <w:color w:val="auto"/>
        </w:rPr>
        <w:t xml:space="preserve"> na zadanie 2. W postępowaniu nie odrzucono żadnej oferty. Wybrano ofertę z</w:t>
      </w:r>
      <w:r w:rsidR="008F191A" w:rsidRPr="00F0151C">
        <w:rPr>
          <w:rFonts w:ascii="ArialMT" w:hAnsi="ArialMT" w:cs="ArialMT"/>
          <w:color w:val="auto"/>
        </w:rPr>
        <w:t> </w:t>
      </w:r>
      <w:r w:rsidRPr="00F0151C">
        <w:rPr>
          <w:rFonts w:ascii="ArialMT" w:hAnsi="ArialMT" w:cs="ArialMT"/>
          <w:color w:val="auto"/>
        </w:rPr>
        <w:t>największą ilością punktów z zastosowanym kryterium oceny</w:t>
      </w:r>
      <w:r w:rsidR="00354FD3" w:rsidRPr="00F0151C">
        <w:rPr>
          <w:rFonts w:ascii="ArialMT" w:hAnsi="ArialMT" w:cs="ArialMT"/>
          <w:color w:val="auto"/>
        </w:rPr>
        <w:t>:</w:t>
      </w:r>
      <w:r w:rsidRPr="00F0151C">
        <w:rPr>
          <w:rFonts w:ascii="ArialMT" w:hAnsi="ArialMT" w:cs="ArialMT"/>
          <w:color w:val="auto"/>
        </w:rPr>
        <w:t xml:space="preserve"> cena 60%, okres udzielonej gwarancji na zabudowane urządzenia, armaturę i osprzęt 20%, okres rękojmi za wady i</w:t>
      </w:r>
      <w:r w:rsidR="008F191A" w:rsidRPr="00F0151C">
        <w:rPr>
          <w:rFonts w:ascii="ArialMT" w:hAnsi="ArialMT" w:cs="ArialMT"/>
          <w:color w:val="auto"/>
        </w:rPr>
        <w:t> </w:t>
      </w:r>
      <w:r w:rsidRPr="00F0151C">
        <w:rPr>
          <w:rFonts w:ascii="ArialMT" w:hAnsi="ArialMT" w:cs="ArialMT"/>
          <w:color w:val="auto"/>
        </w:rPr>
        <w:t xml:space="preserve">gwarancji na roboty 20 % do: </w:t>
      </w:r>
    </w:p>
    <w:p w14:paraId="0FE64D65" w14:textId="63FD6FB1" w:rsidR="00191DDD" w:rsidRPr="00F0151C" w:rsidRDefault="00191DDD" w:rsidP="00326634">
      <w:pPr>
        <w:numPr>
          <w:ilvl w:val="0"/>
          <w:numId w:val="60"/>
        </w:numPr>
        <w:overflowPunct/>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lastRenderedPageBreak/>
        <w:t>zadania nr 1 ofertę nr 2 z ceną brutto 19 588,90 zł,</w:t>
      </w:r>
      <w:r w:rsidR="003F2FEC" w:rsidRPr="00F0151C">
        <w:rPr>
          <w:rFonts w:ascii="ArialMT" w:hAnsi="ArialMT" w:cs="ArialMT"/>
          <w:color w:val="auto"/>
        </w:rPr>
        <w:t xml:space="preserve"> z</w:t>
      </w:r>
      <w:r w:rsidRPr="00F0151C">
        <w:rPr>
          <w:rFonts w:ascii="ArialMT" w:hAnsi="ArialMT" w:cs="ArialMT"/>
          <w:color w:val="auto"/>
        </w:rPr>
        <w:t xml:space="preserve"> okresem udzielonej gwarancji</w:t>
      </w:r>
      <w:r w:rsidR="008C481C" w:rsidRPr="00F0151C">
        <w:rPr>
          <w:rFonts w:ascii="ArialMT" w:hAnsi="ArialMT" w:cs="ArialMT"/>
          <w:color w:val="auto"/>
        </w:rPr>
        <w:t> </w:t>
      </w:r>
      <w:r w:rsidRPr="00F0151C">
        <w:rPr>
          <w:rFonts w:ascii="ArialMT" w:hAnsi="ArialMT" w:cs="ArialMT"/>
          <w:color w:val="auto"/>
        </w:rPr>
        <w:t>60</w:t>
      </w:r>
      <w:r w:rsidR="008C481C" w:rsidRPr="00F0151C">
        <w:rPr>
          <w:rFonts w:ascii="ArialMT" w:hAnsi="ArialMT" w:cs="ArialMT"/>
          <w:color w:val="auto"/>
        </w:rPr>
        <w:t> </w:t>
      </w:r>
      <w:r w:rsidRPr="00F0151C">
        <w:rPr>
          <w:rFonts w:ascii="ArialMT" w:hAnsi="ArialMT" w:cs="ArialMT"/>
          <w:color w:val="auto"/>
        </w:rPr>
        <w:t>m-</w:t>
      </w:r>
      <w:proofErr w:type="spellStart"/>
      <w:r w:rsidRPr="00F0151C">
        <w:rPr>
          <w:rFonts w:ascii="ArialMT" w:hAnsi="ArialMT" w:cs="ArialMT"/>
          <w:color w:val="auto"/>
        </w:rPr>
        <w:t>cy</w:t>
      </w:r>
      <w:proofErr w:type="spellEnd"/>
      <w:r w:rsidRPr="00F0151C">
        <w:rPr>
          <w:rFonts w:ascii="ArialMT" w:hAnsi="ArialMT" w:cs="ArialMT"/>
          <w:color w:val="auto"/>
        </w:rPr>
        <w:t xml:space="preserve"> i okresem rękojmi i gwarancji 36 m-</w:t>
      </w:r>
      <w:proofErr w:type="spellStart"/>
      <w:r w:rsidRPr="00F0151C">
        <w:rPr>
          <w:rFonts w:ascii="ArialMT" w:hAnsi="ArialMT" w:cs="ArialMT"/>
          <w:color w:val="auto"/>
        </w:rPr>
        <w:t>cy</w:t>
      </w:r>
      <w:proofErr w:type="spellEnd"/>
      <w:r w:rsidRPr="00F0151C">
        <w:rPr>
          <w:rFonts w:ascii="ArialMT" w:hAnsi="ArialMT" w:cs="ArialMT"/>
          <w:color w:val="auto"/>
        </w:rPr>
        <w:t>,</w:t>
      </w:r>
    </w:p>
    <w:p w14:paraId="1133C9C7" w14:textId="4030F616" w:rsidR="00191DDD" w:rsidRPr="00F0151C" w:rsidRDefault="00191DDD" w:rsidP="00326634">
      <w:pPr>
        <w:numPr>
          <w:ilvl w:val="0"/>
          <w:numId w:val="60"/>
        </w:numPr>
        <w:overflowPunct/>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 xml:space="preserve">zadanie nr 2 ofertę nr 2 z ceną brutto 29 994,33 zł, </w:t>
      </w:r>
      <w:r w:rsidR="003F2FEC" w:rsidRPr="00F0151C">
        <w:rPr>
          <w:rFonts w:ascii="ArialMT" w:hAnsi="ArialMT" w:cs="ArialMT"/>
          <w:color w:val="auto"/>
        </w:rPr>
        <w:t xml:space="preserve">z </w:t>
      </w:r>
      <w:r w:rsidRPr="00F0151C">
        <w:rPr>
          <w:rFonts w:ascii="ArialMT" w:hAnsi="ArialMT" w:cs="ArialMT"/>
          <w:color w:val="auto"/>
        </w:rPr>
        <w:t>okresem udzielonej gwarancji</w:t>
      </w:r>
      <w:r w:rsidR="008C481C" w:rsidRPr="00F0151C">
        <w:rPr>
          <w:rFonts w:ascii="ArialMT" w:hAnsi="ArialMT" w:cs="ArialMT"/>
          <w:color w:val="auto"/>
        </w:rPr>
        <w:t> </w:t>
      </w:r>
      <w:r w:rsidRPr="00F0151C">
        <w:rPr>
          <w:rFonts w:ascii="ArialMT" w:hAnsi="ArialMT" w:cs="ArialMT"/>
          <w:color w:val="auto"/>
        </w:rPr>
        <w:t>60</w:t>
      </w:r>
      <w:r w:rsidR="008C481C" w:rsidRPr="00F0151C">
        <w:rPr>
          <w:rFonts w:ascii="ArialMT" w:hAnsi="ArialMT" w:cs="ArialMT"/>
          <w:color w:val="auto"/>
        </w:rPr>
        <w:t> </w:t>
      </w:r>
      <w:r w:rsidRPr="00F0151C">
        <w:rPr>
          <w:rFonts w:ascii="ArialMT" w:hAnsi="ArialMT" w:cs="ArialMT"/>
          <w:color w:val="auto"/>
        </w:rPr>
        <w:t>m-</w:t>
      </w:r>
      <w:proofErr w:type="spellStart"/>
      <w:r w:rsidRPr="00F0151C">
        <w:rPr>
          <w:rFonts w:ascii="ArialMT" w:hAnsi="ArialMT" w:cs="ArialMT"/>
          <w:color w:val="auto"/>
        </w:rPr>
        <w:t>cy</w:t>
      </w:r>
      <w:proofErr w:type="spellEnd"/>
      <w:r w:rsidRPr="00F0151C">
        <w:rPr>
          <w:rFonts w:ascii="ArialMT" w:hAnsi="ArialMT" w:cs="ArialMT"/>
          <w:color w:val="auto"/>
        </w:rPr>
        <w:t xml:space="preserve"> i okresem rękojmi i gwarancji 36 m-</w:t>
      </w:r>
      <w:proofErr w:type="spellStart"/>
      <w:r w:rsidRPr="00F0151C">
        <w:rPr>
          <w:rFonts w:ascii="ArialMT" w:hAnsi="ArialMT" w:cs="ArialMT"/>
          <w:color w:val="auto"/>
        </w:rPr>
        <w:t>cy</w:t>
      </w:r>
      <w:proofErr w:type="spellEnd"/>
      <w:r w:rsidRPr="00F0151C">
        <w:rPr>
          <w:rFonts w:ascii="ArialMT" w:hAnsi="ArialMT" w:cs="ArialMT"/>
          <w:color w:val="auto"/>
        </w:rPr>
        <w:t xml:space="preserve">. </w:t>
      </w:r>
    </w:p>
    <w:p w14:paraId="0AD07F9C" w14:textId="40C1FC17"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Z ww. wykonawcami zawarto umowy nr DZI-342/R/52/03/2022 z 31.03.2022 r. na zadanie nr</w:t>
      </w:r>
      <w:r w:rsidR="008F191A" w:rsidRPr="00F0151C">
        <w:rPr>
          <w:rFonts w:ascii="ArialMT" w:hAnsi="ArialMT" w:cs="ArialMT"/>
          <w:color w:val="auto"/>
        </w:rPr>
        <w:t> </w:t>
      </w:r>
      <w:r w:rsidRPr="00F0151C">
        <w:rPr>
          <w:rFonts w:ascii="ArialMT" w:hAnsi="ArialMT" w:cs="ArialMT"/>
          <w:color w:val="auto"/>
        </w:rPr>
        <w:t>1  z  terminem realizacji do 12.05.2022 r. i nr DZI-342/R/53/03/2022 z 31.03.2022 r. na zadanie nr 2 z terminem realizacji do 12.05.2022 r.</w:t>
      </w:r>
    </w:p>
    <w:p w14:paraId="7BBC2C81" w14:textId="27FF58E4"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Ogłoszenie o wyniku postępowania umieszczono</w:t>
      </w:r>
      <w:r w:rsidR="003A3F03" w:rsidRPr="00F0151C">
        <w:rPr>
          <w:rFonts w:ascii="ArialMT" w:hAnsi="ArialMT" w:cs="ArialMT"/>
          <w:color w:val="auto"/>
        </w:rPr>
        <w:t xml:space="preserve"> w</w:t>
      </w:r>
      <w:r w:rsidRPr="00F0151C">
        <w:rPr>
          <w:rFonts w:ascii="ArialMT" w:hAnsi="ArialMT" w:cs="ArialMT"/>
          <w:color w:val="auto"/>
        </w:rPr>
        <w:t xml:space="preserve"> BZP 7.04.2022 r. </w:t>
      </w:r>
    </w:p>
    <w:p w14:paraId="7D0450D6" w14:textId="460D1E92" w:rsidR="00191DDD" w:rsidRPr="00F0151C" w:rsidRDefault="00191DDD" w:rsidP="00191DDD">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Obydwie umowy aneksowano 12.05.2022 r. w zakresie terminu zakończenia robót do 16.06.2022 r. w związku z opóźnieniem w dostawie okien oraz 2.06.2022 r. i  zmianą kierownika robót. Na podstawie protokołu końcowego odbioru technicznego robót z</w:t>
      </w:r>
      <w:r w:rsidR="008F191A" w:rsidRPr="00F0151C">
        <w:rPr>
          <w:rFonts w:ascii="ArialMT" w:hAnsi="ArialMT" w:cs="ArialMT"/>
          <w:color w:val="auto"/>
        </w:rPr>
        <w:t> </w:t>
      </w:r>
      <w:r w:rsidRPr="00F0151C">
        <w:rPr>
          <w:rFonts w:ascii="ArialMT" w:hAnsi="ArialMT" w:cs="ArialMT"/>
          <w:color w:val="auto"/>
        </w:rPr>
        <w:t xml:space="preserve">15.06.2022 r. i faktury nr 1/07/2022 z 5.07.2022 r. poniesiono koszt w kwocie 29 994,33 zł za zadanie nr 2. Za zadanie 1 poniesiono koszt </w:t>
      </w:r>
      <w:r w:rsidRPr="00F0151C">
        <w:rPr>
          <w:rFonts w:ascii="Arial" w:hAnsi="Arial" w:cs="Arial"/>
          <w:color w:val="auto"/>
        </w:rPr>
        <w:t>18 855,59  zł zgodnie z fakturą  nr</w:t>
      </w:r>
      <w:r w:rsidR="008F191A" w:rsidRPr="00F0151C">
        <w:rPr>
          <w:rFonts w:ascii="Arial" w:hAnsi="Arial" w:cs="Arial"/>
          <w:color w:val="auto"/>
        </w:rPr>
        <w:t> </w:t>
      </w:r>
      <w:r w:rsidRPr="00F0151C">
        <w:rPr>
          <w:rFonts w:ascii="Arial" w:hAnsi="Arial" w:cs="Arial"/>
          <w:color w:val="auto"/>
        </w:rPr>
        <w:t>FA/6/06/2022 z dnia 22.06.2022 r. i protokołem końcowym  odbioru robót i kosztorysem podwykonawczym.</w:t>
      </w:r>
    </w:p>
    <w:p w14:paraId="5E9997A9" w14:textId="1E7BD5E3" w:rsidR="00375221" w:rsidRPr="00F0151C" w:rsidRDefault="00191DDD" w:rsidP="00595DBE">
      <w:pPr>
        <w:autoSpaceDE w:val="0"/>
        <w:autoSpaceDN w:val="0"/>
        <w:adjustRightInd w:val="0"/>
        <w:spacing w:after="0" w:line="360" w:lineRule="auto"/>
        <w:jc w:val="both"/>
        <w:rPr>
          <w:rFonts w:ascii="ArialMT" w:hAnsi="ArialMT" w:cs="ArialMT"/>
          <w:b/>
          <w:bCs/>
          <w:color w:val="auto"/>
        </w:rPr>
      </w:pPr>
      <w:bookmarkStart w:id="51" w:name="_Hlk147317576"/>
      <w:r w:rsidRPr="00F0151C">
        <w:rPr>
          <w:rFonts w:ascii="ArialMT" w:hAnsi="ArialMT" w:cs="ArialMT"/>
          <w:b/>
          <w:bCs/>
          <w:color w:val="auto"/>
        </w:rPr>
        <w:t xml:space="preserve">Ogłoszenie o wykonaniu ww. umów opublikowano dopiero 24.08.2022 r. </w:t>
      </w:r>
      <w:bookmarkEnd w:id="51"/>
    </w:p>
    <w:p w14:paraId="22A95206" w14:textId="77777777" w:rsidR="00AB770F" w:rsidRPr="00F0151C" w:rsidRDefault="00346E67" w:rsidP="0014112B">
      <w:pPr>
        <w:overflowPunct/>
        <w:spacing w:after="160" w:line="360" w:lineRule="auto"/>
        <w:contextualSpacing/>
        <w:jc w:val="both"/>
        <w:rPr>
          <w:rFonts w:ascii="Arial" w:eastAsia="Andale Sans UI" w:hAnsi="Arial" w:cs="Arial"/>
          <w:color w:val="auto"/>
          <w:spacing w:val="-2"/>
          <w:u w:val="single"/>
          <w:lang w:eastAsia="ja-JP" w:bidi="fa-IR"/>
        </w:rPr>
      </w:pPr>
      <w:r w:rsidRPr="00F0151C">
        <w:rPr>
          <w:rFonts w:ascii="Arial" w:eastAsia="Andale Sans UI" w:hAnsi="Arial" w:cs="Arial"/>
          <w:color w:val="auto"/>
          <w:spacing w:val="-2"/>
          <w:u w:val="single"/>
          <w:lang w:eastAsia="ja-JP" w:bidi="fa-IR"/>
        </w:rPr>
        <w:t xml:space="preserve">Utrzymanie czystości w budynkach użyteczności publicznej położonych w Tychach administrowanych przez Miejski Zarząd Budynków Mieszkalnych oraz przyległych do nich terenów zewnętrznych. </w:t>
      </w:r>
    </w:p>
    <w:p w14:paraId="0422A1FC" w14:textId="2D5F65FE" w:rsidR="00346E67" w:rsidRPr="00F0151C" w:rsidRDefault="00346E67" w:rsidP="00AB770F">
      <w:pPr>
        <w:overflowPunct/>
        <w:spacing w:after="160" w:line="360" w:lineRule="auto"/>
        <w:ind w:firstLine="426"/>
        <w:contextualSpacing/>
        <w:jc w:val="both"/>
        <w:rPr>
          <w:rFonts w:ascii="Arial" w:eastAsia="Andale Sans UI" w:hAnsi="Arial" w:cs="Arial"/>
          <w:b/>
          <w:bCs/>
          <w:color w:val="auto"/>
          <w:spacing w:val="-2"/>
          <w:lang w:eastAsia="ja-JP" w:bidi="fa-IR"/>
        </w:rPr>
      </w:pPr>
      <w:r w:rsidRPr="00F0151C">
        <w:rPr>
          <w:rFonts w:ascii="Arial" w:eastAsia="Andale Sans UI" w:hAnsi="Arial" w:cs="Arial"/>
          <w:color w:val="auto"/>
          <w:spacing w:val="-2"/>
          <w:lang w:eastAsia="ja-JP" w:bidi="fa-IR"/>
        </w:rPr>
        <w:t>Weryfikacji poddano zamówienie publiczne na usługę w zakresie utrzymania czystości w</w:t>
      </w:r>
      <w:r w:rsidR="008F191A"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budynkach użyteczności publicznej położonych w Tychach administrowanych przez Miejski Zarząd Budynków Mieszkalnych oraz przyległych do nich terenów zewnętrznych </w:t>
      </w:r>
      <w:bookmarkStart w:id="52" w:name="_Hlk146014421"/>
      <w:r w:rsidRPr="00F0151C">
        <w:rPr>
          <w:rFonts w:ascii="Arial" w:eastAsia="Andale Sans UI" w:hAnsi="Arial" w:cs="Arial"/>
          <w:color w:val="auto"/>
          <w:spacing w:val="-2"/>
          <w:lang w:eastAsia="ja-JP" w:bidi="fa-IR"/>
        </w:rPr>
        <w:t xml:space="preserve">udzielone na podstawie art.132 ustawy </w:t>
      </w:r>
      <w:proofErr w:type="spellStart"/>
      <w:r w:rsidRPr="00F0151C">
        <w:rPr>
          <w:rFonts w:ascii="Arial" w:eastAsia="Andale Sans UI" w:hAnsi="Arial" w:cs="Arial"/>
          <w:color w:val="auto"/>
          <w:spacing w:val="-2"/>
          <w:lang w:eastAsia="ja-JP" w:bidi="fa-IR"/>
        </w:rPr>
        <w:t>pzp</w:t>
      </w:r>
      <w:proofErr w:type="spellEnd"/>
      <w:r w:rsidRPr="00F0151C">
        <w:rPr>
          <w:rFonts w:ascii="Arial" w:eastAsia="Andale Sans UI" w:hAnsi="Arial" w:cs="Arial"/>
          <w:color w:val="auto"/>
          <w:spacing w:val="-2"/>
          <w:lang w:eastAsia="ja-JP" w:bidi="fa-IR"/>
        </w:rPr>
        <w:t xml:space="preserve">.  </w:t>
      </w:r>
      <w:bookmarkEnd w:id="52"/>
      <w:r w:rsidRPr="00F0151C">
        <w:rPr>
          <w:rFonts w:ascii="Arial" w:eastAsia="Andale Sans UI" w:hAnsi="Arial" w:cs="Arial"/>
          <w:color w:val="auto"/>
          <w:spacing w:val="-2"/>
          <w:lang w:eastAsia="ja-JP" w:bidi="fa-IR"/>
        </w:rPr>
        <w:t>Zamówienie zostało podzielone na 5 części stanowiących 5 odrębnych lokalizacji tj.:  „</w:t>
      </w:r>
      <w:proofErr w:type="spellStart"/>
      <w:r w:rsidRPr="00F0151C">
        <w:rPr>
          <w:rFonts w:ascii="Arial" w:eastAsia="Andale Sans UI" w:hAnsi="Arial" w:cs="Arial"/>
          <w:color w:val="auto"/>
          <w:spacing w:val="-2"/>
          <w:lang w:eastAsia="ja-JP" w:bidi="fa-IR"/>
        </w:rPr>
        <w:t>Mediateka</w:t>
      </w:r>
      <w:proofErr w:type="spellEnd"/>
      <w:r w:rsidRPr="00F0151C">
        <w:rPr>
          <w:rFonts w:ascii="Arial" w:eastAsia="Andale Sans UI" w:hAnsi="Arial" w:cs="Arial"/>
          <w:color w:val="auto"/>
          <w:spacing w:val="-2"/>
          <w:lang w:eastAsia="ja-JP" w:bidi="fa-IR"/>
        </w:rPr>
        <w:t xml:space="preserve">” przy al. Marszałka Piłsudskiego 16, „Pasaż Kultury Andromeda” przy pl. K. K. Baczyńskiego 2, „Balbina Centrum” przy ul. J. Barona 30, dworzec PKP przy ul. Gen. Andersa 19 oraz „Centrum Usług Społecznościowych” przy ul. Edukacji 11 wraz z terenami przyległych do nich terenów zewnętrznych. </w:t>
      </w:r>
    </w:p>
    <w:p w14:paraId="26D510E6" w14:textId="2FB3F54C" w:rsidR="00346E67" w:rsidRPr="00F0151C" w:rsidRDefault="00346E67" w:rsidP="00346E67">
      <w:pPr>
        <w:widowControl w:val="0"/>
        <w:tabs>
          <w:tab w:val="left" w:pos="-8505"/>
          <w:tab w:val="left" w:pos="-2127"/>
          <w:tab w:val="left" w:pos="360"/>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ab/>
        <w:t xml:space="preserve"> Jak wynika z dokumentacji poddanej kontroli tj. „Analizy potrzeb zamawiającego” </w:t>
      </w:r>
      <w:r w:rsidR="003F2FEC" w:rsidRPr="00F0151C">
        <w:rPr>
          <w:rFonts w:ascii="Arial" w:eastAsia="Andale Sans UI" w:hAnsi="Arial" w:cs="Arial"/>
          <w:color w:val="auto"/>
          <w:spacing w:val="-2"/>
          <w:lang w:eastAsia="ja-JP" w:bidi="fa-IR"/>
        </w:rPr>
        <w:t>z</w:t>
      </w:r>
      <w:r w:rsidR="008F191A"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28.02.2022 r. : „</w:t>
      </w:r>
      <w:r w:rsidRPr="00F0151C">
        <w:rPr>
          <w:rFonts w:ascii="Arial" w:eastAsia="Andale Sans UI" w:hAnsi="Arial" w:cs="Arial"/>
          <w:i/>
          <w:iCs/>
          <w:color w:val="auto"/>
          <w:spacing w:val="-2"/>
          <w:lang w:eastAsia="ja-JP" w:bidi="fa-IR"/>
        </w:rPr>
        <w:t xml:space="preserve">Wartość zamówienia została wyliczono na podstawie średnich cen wyliczonych z poszczególnych pozycji formularzy ofertowych dla każdej nieruchomości, stanowiących załączniki do obecnie obowiązujących umów wraz z aneksami. Ponadto, ze względu na inflację, </w:t>
      </w:r>
      <w:r w:rsidRPr="00F0151C">
        <w:rPr>
          <w:rFonts w:ascii="Arial" w:eastAsia="Andale Sans UI" w:hAnsi="Arial" w:cs="Arial"/>
          <w:b/>
          <w:bCs/>
          <w:i/>
          <w:iCs/>
          <w:color w:val="auto"/>
          <w:spacing w:val="-2"/>
          <w:u w:val="single"/>
          <w:lang w:eastAsia="ja-JP" w:bidi="fa-IR"/>
        </w:rPr>
        <w:t>poszczególne wartości zostały powiększone o 5 %</w:t>
      </w:r>
      <w:r w:rsidRPr="00F0151C">
        <w:rPr>
          <w:rFonts w:ascii="Arial" w:eastAsia="Andale Sans UI" w:hAnsi="Arial" w:cs="Arial"/>
          <w:i/>
          <w:iCs/>
          <w:color w:val="auto"/>
          <w:spacing w:val="-2"/>
          <w:lang w:eastAsia="ja-JP" w:bidi="fa-IR"/>
        </w:rPr>
        <w:t xml:space="preserve">”. </w:t>
      </w:r>
      <w:r w:rsidRPr="00F0151C">
        <w:rPr>
          <w:rFonts w:ascii="Arial" w:eastAsia="Andale Sans UI" w:hAnsi="Arial" w:cs="Arial"/>
          <w:color w:val="auto"/>
          <w:spacing w:val="-2"/>
          <w:lang w:eastAsia="ja-JP" w:bidi="fa-IR"/>
        </w:rPr>
        <w:t>Termin realizacji zamówienia ustalono na od 1.06.202</w:t>
      </w:r>
      <w:r w:rsidR="00D75D38" w:rsidRPr="00F0151C">
        <w:rPr>
          <w:rFonts w:ascii="Arial" w:eastAsia="Andale Sans UI" w:hAnsi="Arial" w:cs="Arial"/>
          <w:color w:val="auto"/>
          <w:spacing w:val="-2"/>
          <w:lang w:eastAsia="ja-JP" w:bidi="fa-IR"/>
        </w:rPr>
        <w:t>2</w:t>
      </w:r>
      <w:r w:rsidRPr="00F0151C">
        <w:rPr>
          <w:rFonts w:ascii="Arial" w:eastAsia="Andale Sans UI" w:hAnsi="Arial" w:cs="Arial"/>
          <w:color w:val="auto"/>
          <w:spacing w:val="-2"/>
          <w:lang w:eastAsia="ja-JP" w:bidi="fa-IR"/>
        </w:rPr>
        <w:t xml:space="preserve"> r. do 31.12.2022 r. jako termin podstawowy, a termin od.1.01.2023 r. do 31.12.2023 r. objęto prawem opcji. Zgodnie z wnioskiem z 14.03.2022 r. o</w:t>
      </w:r>
      <w:r w:rsidR="008F191A"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rozpoczęcie postepowania w sprawie zamówienia publicznego wartość ogólną szacunkową  całego zamówienia ustalono na kwotę 1 307 435, 43 zł netto, w tym: szacunkowa wartość</w:t>
      </w:r>
      <w:r w:rsidR="008F191A" w:rsidRPr="00F0151C">
        <w:rPr>
          <w:rFonts w:ascii="Arial" w:eastAsia="Andale Sans UI" w:hAnsi="Arial" w:cs="Arial"/>
          <w:color w:val="auto"/>
          <w:spacing w:val="-2"/>
          <w:lang w:eastAsia="ja-JP" w:bidi="fa-IR"/>
        </w:rPr>
        <w:t xml:space="preserve"> </w:t>
      </w:r>
      <w:r w:rsidRPr="00F0151C">
        <w:rPr>
          <w:rFonts w:ascii="Arial" w:eastAsia="Andale Sans UI" w:hAnsi="Arial" w:cs="Arial"/>
          <w:color w:val="auto"/>
          <w:spacing w:val="-2"/>
          <w:lang w:eastAsia="ja-JP" w:bidi="fa-IR"/>
        </w:rPr>
        <w:lastRenderedPageBreak/>
        <w:t>zamówienia w okresie od 1.06.2022 r. do 31.12.2022 r. wynosiła 475 370,94 zł netto, a</w:t>
      </w:r>
      <w:r w:rsidR="008F191A"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szacunkowa wartość zamówienia objętego prawem opcji w okresie od 1.01.2023 r. o</w:t>
      </w:r>
      <w:r w:rsidR="008F191A"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31.12.2023 r. wynosiła 832 064,49 zł netto. Do wyliczenia wartości zamówienia załączono liczne formularze i arkusze kalkulacyjne, w których szczegółowo rozpisano zakres czynności do wykonania w każdej lokalizacji ze wskazaniem ich wielkości lub powierzchni. W zakresie szacowania wartości przedmiotowego zamówienia nie zastosowano zapisów obowiązującego w tym czasie regulaminu, zgodnie z którym „</w:t>
      </w:r>
      <w:r w:rsidRPr="00F0151C">
        <w:rPr>
          <w:rFonts w:ascii="Arial" w:eastAsia="Andale Sans UI" w:hAnsi="Arial" w:cs="Arial"/>
          <w:i/>
          <w:iCs/>
          <w:color w:val="auto"/>
          <w:spacing w:val="-2"/>
          <w:lang w:eastAsia="ja-JP" w:bidi="fa-IR"/>
        </w:rPr>
        <w:t xml:space="preserve">podstawą ustalenia wartości zamówienia na usługi lub dostawy powtarzające się okresowo lub podlegające wznowieniu w określonym czasie jest łączna wartość zamówień udzielonych MZBM TYCHY w terminie poprzednich 12 miesięcy lub w poprzednim roku budżetowym lub roku obrotowym, z uwzględnieniem zmian ilościowych zamawianych usług lub dostaw </w:t>
      </w:r>
      <w:r w:rsidRPr="00F0151C">
        <w:rPr>
          <w:rFonts w:ascii="Arial" w:eastAsia="Andale Sans UI" w:hAnsi="Arial" w:cs="Arial"/>
          <w:b/>
          <w:bCs/>
          <w:i/>
          <w:iCs/>
          <w:color w:val="auto"/>
          <w:spacing w:val="-2"/>
          <w:u w:val="single"/>
          <w:lang w:eastAsia="ja-JP" w:bidi="fa-IR"/>
        </w:rPr>
        <w:t>oraz prognozowanego na dany rok</w:t>
      </w:r>
      <w:r w:rsidRPr="00F0151C">
        <w:rPr>
          <w:rFonts w:ascii="Arial" w:eastAsia="Andale Sans UI" w:hAnsi="Arial" w:cs="Arial"/>
          <w:b/>
          <w:bCs/>
          <w:i/>
          <w:iCs/>
          <w:color w:val="auto"/>
          <w:spacing w:val="-2"/>
          <w:lang w:eastAsia="ja-JP" w:bidi="fa-IR"/>
        </w:rPr>
        <w:t xml:space="preserve"> średniorocznego </w:t>
      </w:r>
      <w:bookmarkStart w:id="53" w:name="_Hlk145926849"/>
      <w:r w:rsidRPr="00F0151C">
        <w:rPr>
          <w:rFonts w:ascii="Arial" w:eastAsia="Andale Sans UI" w:hAnsi="Arial" w:cs="Arial"/>
          <w:b/>
          <w:bCs/>
          <w:i/>
          <w:iCs/>
          <w:color w:val="auto"/>
          <w:spacing w:val="-2"/>
          <w:lang w:eastAsia="ja-JP" w:bidi="fa-IR"/>
        </w:rPr>
        <w:t>wskaźnika cen towarów i usług konsumpcyjnych ogółem</w:t>
      </w:r>
      <w:bookmarkEnd w:id="53"/>
      <w:r w:rsidRPr="00F0151C">
        <w:rPr>
          <w:rFonts w:ascii="Arial" w:eastAsia="Andale Sans UI" w:hAnsi="Arial" w:cs="Arial"/>
          <w:i/>
          <w:iCs/>
          <w:color w:val="auto"/>
          <w:spacing w:val="-2"/>
          <w:lang w:eastAsia="ja-JP" w:bidi="fa-IR"/>
        </w:rPr>
        <w:t xml:space="preserve">, albo których zamawiający zamierza udzielić w terminie 12 miesięcy następujących po pierwszej usłudze lub dostawie. Wybór podstawy ustalenia wartości zamówienia na usługi lub dostawy powtarzające się okresowo nie może być dokonany w celu uniknięcia stosowania przepisów ustawy.” </w:t>
      </w:r>
      <w:r w:rsidRPr="00F0151C">
        <w:rPr>
          <w:rFonts w:ascii="Arial" w:eastAsia="Andale Sans UI" w:hAnsi="Arial" w:cs="Arial"/>
          <w:color w:val="auto"/>
          <w:spacing w:val="-2"/>
          <w:lang w:eastAsia="ja-JP" w:bidi="fa-IR"/>
        </w:rPr>
        <w:t>Z</w:t>
      </w:r>
      <w:r w:rsidR="008F191A"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wyjaśnień udzielonych kontrolującym wynika, że zastosowany 5 % wskaźnik został ustalony przez pracownika, który sporządzał szacunek, mając na względzie aktualny na dzień szacowania wzrost cen. Nie odpowiadał on jednak prognozowanemu średniorocznemu </w:t>
      </w:r>
      <w:r w:rsidRPr="00F0151C">
        <w:rPr>
          <w:rFonts w:ascii="Arial" w:eastAsia="Andale Sans UI" w:hAnsi="Arial" w:cs="Arial"/>
          <w:b/>
          <w:bCs/>
          <w:i/>
          <w:iCs/>
          <w:color w:val="auto"/>
          <w:spacing w:val="-2"/>
          <w:lang w:eastAsia="ja-JP" w:bidi="fa-IR"/>
        </w:rPr>
        <w:t xml:space="preserve">wskaźnikowi cen towarów i usług konsumpcyjnych ogółem, do czego obligowały zapisy regulaminu. </w:t>
      </w:r>
      <w:r w:rsidRPr="00F0151C">
        <w:rPr>
          <w:rFonts w:ascii="Arial" w:eastAsia="Andale Sans UI" w:hAnsi="Arial" w:cs="Arial"/>
          <w:color w:val="auto"/>
          <w:spacing w:val="-2"/>
          <w:lang w:eastAsia="ja-JP" w:bidi="fa-IR"/>
        </w:rPr>
        <w:t xml:space="preserve">Zgodnie z § 17 ustawy budżetowej na rok 2022 r. prognozowany średnioroczny wskaźnik cen towarów i usług konsumpcyjnych ogółem wynosił 3,3%. W okresie trwania kontroli aneksem nr 8  </w:t>
      </w:r>
      <w:r w:rsidR="0034317A" w:rsidRPr="00F0151C">
        <w:rPr>
          <w:rFonts w:ascii="Arial" w:eastAsia="Andale Sans UI" w:hAnsi="Arial" w:cs="Arial"/>
          <w:color w:val="auto"/>
          <w:spacing w:val="-2"/>
          <w:lang w:eastAsia="ja-JP" w:bidi="fa-IR"/>
        </w:rPr>
        <w:t xml:space="preserve">z </w:t>
      </w:r>
      <w:r w:rsidRPr="00F0151C">
        <w:rPr>
          <w:rFonts w:ascii="Arial" w:eastAsia="Andale Sans UI" w:hAnsi="Arial" w:cs="Arial"/>
          <w:color w:val="auto"/>
          <w:spacing w:val="-2"/>
          <w:lang w:eastAsia="ja-JP" w:bidi="fa-IR"/>
        </w:rPr>
        <w:t>28.08.2023 r. do Instrukcji Ramowej Zamówień wprowadzono zmianę, zgodnie z którą „Podstawą ustalenia wartości zamówienia</w:t>
      </w:r>
      <w:r w:rsidR="0034317A" w:rsidRPr="00F0151C">
        <w:rPr>
          <w:rFonts w:ascii="Arial" w:eastAsia="Andale Sans UI" w:hAnsi="Arial" w:cs="Arial"/>
          <w:color w:val="auto"/>
          <w:spacing w:val="-2"/>
          <w:lang w:eastAsia="ja-JP" w:bidi="fa-IR"/>
        </w:rPr>
        <w:t xml:space="preserve"> </w:t>
      </w:r>
      <w:r w:rsidRPr="00F0151C">
        <w:rPr>
          <w:rFonts w:ascii="Arial" w:eastAsia="Andale Sans UI" w:hAnsi="Arial" w:cs="Arial"/>
          <w:color w:val="auto"/>
          <w:spacing w:val="-2"/>
          <w:lang w:eastAsia="ja-JP" w:bidi="fa-IR"/>
        </w:rPr>
        <w:t xml:space="preserve">jest całkowite szacunkowe wynagrodzenie wykonawcy bez podatku od towarów usług, ustalone z należytą starannością (art. 28 </w:t>
      </w:r>
      <w:proofErr w:type="spellStart"/>
      <w:r w:rsidRPr="00F0151C">
        <w:rPr>
          <w:rFonts w:ascii="Arial" w:eastAsia="Andale Sans UI" w:hAnsi="Arial" w:cs="Arial"/>
          <w:color w:val="auto"/>
          <w:spacing w:val="-2"/>
          <w:lang w:eastAsia="ja-JP" w:bidi="fa-IR"/>
        </w:rPr>
        <w:t>pzp</w:t>
      </w:r>
      <w:proofErr w:type="spellEnd"/>
      <w:r w:rsidRPr="00F0151C">
        <w:rPr>
          <w:rFonts w:ascii="Arial" w:eastAsia="Andale Sans UI" w:hAnsi="Arial" w:cs="Arial"/>
          <w:color w:val="auto"/>
          <w:spacing w:val="-2"/>
          <w:lang w:eastAsia="ja-JP" w:bidi="fa-IR"/>
        </w:rPr>
        <w:t xml:space="preserve">). W przypadku usług lub dostaw powtarzających się lub podlegających wznowieniu w określonym czasie jest rzeczywista łączna wartość kolejnych zamówień tego samego rodzaju, udzielonych w ciągu poprzednich 12 miesięcy lub w poprzednim roku budżetowym lub roku obrotowym, z uwzględnieniem zmian ilości lub wartości zamawianych usług lub dostaw, które mogły wystąpić w ciągu 12 miesięcy następujących od udzielenia pierwszego zamówienia, albo łączna wartość zamówień, których zamawiający zamierza udzielić w terminie 12 miesięcy następujących po pierwszej usłudze lub dostawie (art. 35 ust.1 </w:t>
      </w:r>
      <w:proofErr w:type="spellStart"/>
      <w:r w:rsidRPr="00F0151C">
        <w:rPr>
          <w:rFonts w:ascii="Arial" w:eastAsia="Andale Sans UI" w:hAnsi="Arial" w:cs="Arial"/>
          <w:color w:val="auto"/>
          <w:spacing w:val="-2"/>
          <w:lang w:eastAsia="ja-JP" w:bidi="fa-IR"/>
        </w:rPr>
        <w:t>pzp</w:t>
      </w:r>
      <w:proofErr w:type="spellEnd"/>
      <w:r w:rsidRPr="00F0151C">
        <w:rPr>
          <w:rFonts w:ascii="Arial" w:eastAsia="Andale Sans UI" w:hAnsi="Arial" w:cs="Arial"/>
          <w:color w:val="auto"/>
          <w:spacing w:val="-2"/>
          <w:lang w:eastAsia="ja-JP" w:bidi="fa-IR"/>
        </w:rPr>
        <w:t xml:space="preserve">). Podstawa ustalenia wartości zamówienia </w:t>
      </w:r>
      <w:r w:rsidRPr="00F0151C">
        <w:rPr>
          <w:rFonts w:ascii="Arial" w:eastAsia="Andale Sans UI" w:hAnsi="Arial" w:cs="Arial"/>
          <w:b/>
          <w:bCs/>
          <w:color w:val="auto"/>
          <w:spacing w:val="-2"/>
          <w:u w:val="single"/>
          <w:lang w:eastAsia="ja-JP" w:bidi="fa-IR"/>
        </w:rPr>
        <w:t xml:space="preserve">może </w:t>
      </w:r>
      <w:r w:rsidRPr="00F0151C">
        <w:rPr>
          <w:rFonts w:ascii="Arial" w:eastAsia="Andale Sans UI" w:hAnsi="Arial" w:cs="Arial"/>
          <w:color w:val="auto"/>
          <w:spacing w:val="-2"/>
          <w:lang w:eastAsia="ja-JP" w:bidi="fa-IR"/>
        </w:rPr>
        <w:t>uwzględniać w szczególności prognozowany na dany rok średnioroczny wskaźnik cen towarów i usług konsumpcyjnych ogółem; zmiany wysokości minimalnego wynagrodzenia za pracę, inne czynniki wpływające na wzrost cen towarów i</w:t>
      </w:r>
      <w:r w:rsidR="008F191A"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usług. Przy ustalaniu wartości zamówienia uwzględnia się największy możliwy zakres tego zamówienia z uwzględnieniem opcji oraz wznowień”.</w:t>
      </w:r>
    </w:p>
    <w:p w14:paraId="56F61182" w14:textId="3D75AEE3" w:rsidR="00346E67" w:rsidRPr="00F0151C" w:rsidRDefault="00346E67" w:rsidP="00346E67">
      <w:pPr>
        <w:widowControl w:val="0"/>
        <w:tabs>
          <w:tab w:val="left" w:pos="-8505"/>
          <w:tab w:val="left" w:pos="-2127"/>
          <w:tab w:val="left" w:pos="360"/>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lastRenderedPageBreak/>
        <w:tab/>
        <w:t>W dniu 22.03.</w:t>
      </w:r>
      <w:r w:rsidR="007C42EC" w:rsidRPr="00F0151C">
        <w:rPr>
          <w:rFonts w:ascii="Arial" w:eastAsia="Andale Sans UI" w:hAnsi="Arial" w:cs="Arial"/>
          <w:color w:val="auto"/>
          <w:spacing w:val="-2"/>
          <w:lang w:eastAsia="ja-JP" w:bidi="fa-IR"/>
        </w:rPr>
        <w:t>2</w:t>
      </w:r>
      <w:r w:rsidRPr="00F0151C">
        <w:rPr>
          <w:rFonts w:ascii="Arial" w:eastAsia="Andale Sans UI" w:hAnsi="Arial" w:cs="Arial"/>
          <w:color w:val="auto"/>
          <w:spacing w:val="-2"/>
          <w:lang w:eastAsia="ja-JP" w:bidi="fa-IR"/>
        </w:rPr>
        <w:t xml:space="preserve">022 r. ogłoszenie o zamówieniu wraz z niezbędnymi załącznikami zamieszczono na stronie BIP MZBM oraz na platformie </w:t>
      </w:r>
      <w:proofErr w:type="spellStart"/>
      <w:r w:rsidRPr="00F0151C">
        <w:rPr>
          <w:rFonts w:ascii="Arial" w:eastAsia="Andale Sans UI" w:hAnsi="Arial" w:cs="Arial"/>
          <w:color w:val="auto"/>
          <w:spacing w:val="-2"/>
          <w:lang w:eastAsia="ja-JP" w:bidi="fa-IR"/>
        </w:rPr>
        <w:t>Miniportal</w:t>
      </w:r>
      <w:proofErr w:type="spellEnd"/>
      <w:r w:rsidRPr="00F0151C">
        <w:rPr>
          <w:rFonts w:ascii="Arial" w:eastAsia="Andale Sans UI" w:hAnsi="Arial" w:cs="Arial"/>
          <w:color w:val="auto"/>
          <w:spacing w:val="-2"/>
          <w:lang w:eastAsia="ja-JP" w:bidi="fa-IR"/>
        </w:rPr>
        <w:t xml:space="preserve">, podkreślając, że oferty należy składać tylko elektronicznie za pomocą strony </w:t>
      </w:r>
      <w:proofErr w:type="spellStart"/>
      <w:r w:rsidRPr="00F0151C">
        <w:rPr>
          <w:rFonts w:ascii="Arial" w:eastAsia="Andale Sans UI" w:hAnsi="Arial" w:cs="Arial"/>
          <w:color w:val="auto"/>
          <w:spacing w:val="-2"/>
          <w:lang w:eastAsia="ja-JP" w:bidi="fa-IR"/>
        </w:rPr>
        <w:t>Miniportal</w:t>
      </w:r>
      <w:proofErr w:type="spellEnd"/>
      <w:r w:rsidRPr="00F0151C">
        <w:rPr>
          <w:rFonts w:ascii="Arial" w:eastAsia="Andale Sans UI" w:hAnsi="Arial" w:cs="Arial"/>
          <w:color w:val="auto"/>
          <w:spacing w:val="-2"/>
          <w:lang w:eastAsia="ja-JP" w:bidi="fa-IR"/>
        </w:rPr>
        <w:t xml:space="preserve">. W ogłoszeniu jako termin składania ofert wskazano 19.04.2022 r. do godz. 9.00, a jako datę otwarcia ofert 19.04.2022 r.  do godz. 10.00. Zgodnie z art.133 ust. 1 </w:t>
      </w:r>
      <w:proofErr w:type="spellStart"/>
      <w:r w:rsidRPr="00F0151C">
        <w:rPr>
          <w:rFonts w:ascii="Arial" w:eastAsia="Andale Sans UI" w:hAnsi="Arial" w:cs="Arial"/>
          <w:color w:val="auto"/>
          <w:spacing w:val="-2"/>
          <w:lang w:eastAsia="ja-JP" w:bidi="fa-IR"/>
        </w:rPr>
        <w:t>pzp</w:t>
      </w:r>
      <w:proofErr w:type="spellEnd"/>
      <w:r w:rsidRPr="00F0151C">
        <w:rPr>
          <w:rFonts w:ascii="Arial" w:eastAsia="Andale Sans UI" w:hAnsi="Arial" w:cs="Arial"/>
          <w:color w:val="auto"/>
          <w:spacing w:val="-2"/>
          <w:lang w:eastAsia="ja-JP" w:bidi="fa-IR"/>
        </w:rPr>
        <w:t xml:space="preserve"> zamawiający zapewnia na stronie internetowej prowadzonego postępowania bezpłatny, pełny, bezpośredni i nieograniczony dostęp do specyfikacji warunków zamówienia, zwanej dalej "SWZ", </w:t>
      </w:r>
      <w:r w:rsidRPr="00F0151C">
        <w:rPr>
          <w:rFonts w:ascii="Arial" w:eastAsia="Andale Sans UI" w:hAnsi="Arial" w:cs="Arial"/>
          <w:color w:val="auto"/>
          <w:spacing w:val="-2"/>
          <w:u w:val="single"/>
          <w:lang w:eastAsia="ja-JP" w:bidi="fa-IR"/>
        </w:rPr>
        <w:t>od dnia publikacji ogłoszenia o</w:t>
      </w:r>
      <w:r w:rsidR="00340D5F" w:rsidRPr="00F0151C">
        <w:rPr>
          <w:rFonts w:ascii="Arial" w:eastAsia="Andale Sans UI" w:hAnsi="Arial" w:cs="Arial"/>
          <w:color w:val="auto"/>
          <w:spacing w:val="-2"/>
          <w:u w:val="single"/>
          <w:lang w:eastAsia="ja-JP" w:bidi="fa-IR"/>
        </w:rPr>
        <w:t> </w:t>
      </w:r>
      <w:r w:rsidRPr="00F0151C">
        <w:rPr>
          <w:rFonts w:ascii="Arial" w:eastAsia="Andale Sans UI" w:hAnsi="Arial" w:cs="Arial"/>
          <w:color w:val="auto"/>
          <w:spacing w:val="-2"/>
          <w:u w:val="single"/>
          <w:lang w:eastAsia="ja-JP" w:bidi="fa-IR"/>
        </w:rPr>
        <w:t>zamówieniu w Dzienniku Urzędowym Unii Europejskiej</w:t>
      </w:r>
      <w:r w:rsidRPr="00F0151C">
        <w:rPr>
          <w:rFonts w:ascii="Arial" w:eastAsia="Andale Sans UI" w:hAnsi="Arial" w:cs="Arial"/>
          <w:color w:val="auto"/>
          <w:spacing w:val="-2"/>
          <w:lang w:eastAsia="ja-JP" w:bidi="fa-IR"/>
        </w:rPr>
        <w:t xml:space="preserve"> nie krócej niż do dnia udzielenia zamówienia. Ponadto, w myśl art. 138 ust. 1 oraz ust. 4 termin składania ofert nie może być krótszy niż 35 dni od dnia przekazania ogłoszenia o zamówieniu Urzędowi Publikacji Unii Europejskiej. Zamawiający może wyznaczyć termin składania ofert o 5 dni krótszy niż określony w ust. 1, jeżeli składanie ofert odbywa się w całości przy użyciu środków komunikacji elektronicznej. Weryfikacja dokumentów wykazała, że ogłoszenie o zamówieniu zostało przekazane do UPUE 17.03.2022 r., a jego publikacja w UPUE nastąpiła 22.03.2022 r., co oznacza że terminy o których mowa w ustawie zostały dotrzymane.</w:t>
      </w:r>
    </w:p>
    <w:p w14:paraId="390A8CC8" w14:textId="1F96D11B" w:rsidR="00346E67" w:rsidRPr="00F0151C" w:rsidRDefault="00346E67" w:rsidP="00346E67">
      <w:pPr>
        <w:widowControl w:val="0"/>
        <w:tabs>
          <w:tab w:val="left" w:pos="-8505"/>
          <w:tab w:val="left" w:pos="-2127"/>
          <w:tab w:val="left" w:pos="360"/>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ab/>
        <w:t>W treści SWZ wskazano, że oferty zostaną ocenione w trzech kryteriach tj. cena 60 %, doświadczenie 20 % oraz jakość 20 %, oraz szczegółowo określono pozostałe informacje dotyczące przedmiotowego postępowania, w tym sposób obliczenia ceny</w:t>
      </w:r>
      <w:r w:rsidR="005312BF" w:rsidRPr="00F0151C">
        <w:rPr>
          <w:rFonts w:ascii="Arial" w:eastAsia="Andale Sans UI" w:hAnsi="Arial" w:cs="Arial"/>
          <w:color w:val="auto"/>
          <w:spacing w:val="-2"/>
          <w:lang w:eastAsia="ja-JP" w:bidi="fa-IR"/>
        </w:rPr>
        <w:t>.</w:t>
      </w:r>
      <w:r w:rsidRPr="00F0151C">
        <w:rPr>
          <w:rFonts w:ascii="Arial" w:eastAsia="Andale Sans UI" w:hAnsi="Arial" w:cs="Arial"/>
          <w:color w:val="auto"/>
          <w:spacing w:val="-2"/>
          <w:lang w:eastAsia="ja-JP" w:bidi="fa-IR"/>
        </w:rPr>
        <w:t xml:space="preserve"> </w:t>
      </w:r>
      <w:r w:rsidR="005312BF" w:rsidRPr="00F0151C">
        <w:rPr>
          <w:rFonts w:ascii="Arial" w:eastAsia="Andale Sans UI" w:hAnsi="Arial" w:cs="Arial"/>
          <w:color w:val="auto"/>
          <w:spacing w:val="-2"/>
          <w:lang w:eastAsia="ja-JP" w:bidi="fa-IR"/>
        </w:rPr>
        <w:t>O</w:t>
      </w:r>
      <w:r w:rsidRPr="00F0151C">
        <w:rPr>
          <w:rFonts w:ascii="Arial" w:eastAsia="Andale Sans UI" w:hAnsi="Arial" w:cs="Arial"/>
          <w:color w:val="auto"/>
          <w:spacing w:val="-2"/>
          <w:lang w:eastAsia="ja-JP" w:bidi="fa-IR"/>
        </w:rPr>
        <w:t>cenie podlegał koszt wykonania całego przedmiotu zamówienia w zakresie określonym w Zbiorczym Formularzu oferty cenowej 7 miesięcy (zakres podstawowy) i 12 miesięcy (prawo opcji). W</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dniu otwarcia ofert zamawiający opublikował informację o kwocie jaką zamierza przeznaczyć na wykonanie zadania. W każdej części zamówienia złożone zostały dwie oferty. Kontroli poddano dokumentację z wszystkich czynności wykonanych przez zamawiającego związanych z</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otwarciem, weryfikacją i oceną ofert nie stwierdzając nieprawidłowości. W zakresie wyboru oferty najkorzystniejszej również nie stwierdzono nieprawidłowości. Z wykonawcą, który zaoferował najkorzystniejszą ofertę we wszystkich częściach zamówienia 27.05.2022 r. podpisano umowy na realizację zadania w okresie od 1.06.2022 r. do 31.12.2022 r. oraz od 1.01.2023 r. do 31.12.20</w:t>
      </w:r>
      <w:r w:rsidR="005312BF" w:rsidRPr="00F0151C">
        <w:rPr>
          <w:rFonts w:ascii="Arial" w:eastAsia="Andale Sans UI" w:hAnsi="Arial" w:cs="Arial"/>
          <w:color w:val="auto"/>
          <w:spacing w:val="-2"/>
          <w:lang w:eastAsia="ja-JP" w:bidi="fa-IR"/>
        </w:rPr>
        <w:t>2</w:t>
      </w:r>
      <w:r w:rsidRPr="00F0151C">
        <w:rPr>
          <w:rFonts w:ascii="Arial" w:eastAsia="Andale Sans UI" w:hAnsi="Arial" w:cs="Arial"/>
          <w:color w:val="auto"/>
          <w:spacing w:val="-2"/>
          <w:lang w:eastAsia="ja-JP" w:bidi="fa-IR"/>
        </w:rPr>
        <w:t xml:space="preserve">3 r. w trybie rozszerzonym. Jak wynika z pisma z 19.12.2022 r. Dyrektor MZBM korzystając z prawa opcji zlecił wykonawcy realizację umowy w zakresie rozszerzonym tj. w okresie od 1.01.2023 r. do 31.12.2023 r. </w:t>
      </w:r>
    </w:p>
    <w:p w14:paraId="79EAD27A" w14:textId="0654639C" w:rsidR="00375221" w:rsidRPr="00F0151C" w:rsidRDefault="00346E67" w:rsidP="00346E67">
      <w:pPr>
        <w:widowControl w:val="0"/>
        <w:tabs>
          <w:tab w:val="left" w:pos="-8505"/>
          <w:tab w:val="left" w:pos="-2127"/>
          <w:tab w:val="left" w:pos="360"/>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ab/>
        <w:t>Weryfikacji poddano faktury wystawione przez Wykonawcę w miesiącu wrześniu 2022 r. w</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zakresie ich zgodności z ofertą i umową nie stwierdzając nieprawidłowości. </w:t>
      </w:r>
      <w:bookmarkStart w:id="54" w:name="_Hlk146028930"/>
    </w:p>
    <w:p w14:paraId="6A78E758" w14:textId="77777777" w:rsidR="003A1A8F" w:rsidRDefault="003A1A8F" w:rsidP="00346E67">
      <w:pPr>
        <w:widowControl w:val="0"/>
        <w:tabs>
          <w:tab w:val="left" w:pos="-8505"/>
          <w:tab w:val="left" w:pos="-2127"/>
          <w:tab w:val="left" w:pos="360"/>
        </w:tabs>
        <w:suppressAutoHyphens/>
        <w:spacing w:after="0" w:line="360" w:lineRule="auto"/>
        <w:jc w:val="both"/>
        <w:textAlignment w:val="baseline"/>
        <w:rPr>
          <w:rFonts w:ascii="Arial" w:eastAsia="Andale Sans UI" w:hAnsi="Arial" w:cs="Arial"/>
          <w:color w:val="auto"/>
          <w:spacing w:val="-2"/>
          <w:u w:val="single"/>
          <w:lang w:eastAsia="ja-JP" w:bidi="fa-IR"/>
        </w:rPr>
      </w:pPr>
    </w:p>
    <w:p w14:paraId="170E89EF" w14:textId="77777777" w:rsidR="004F74DE" w:rsidRDefault="004F74DE" w:rsidP="00346E67">
      <w:pPr>
        <w:widowControl w:val="0"/>
        <w:tabs>
          <w:tab w:val="left" w:pos="-8505"/>
          <w:tab w:val="left" w:pos="-2127"/>
          <w:tab w:val="left" w:pos="360"/>
        </w:tabs>
        <w:suppressAutoHyphens/>
        <w:spacing w:after="0" w:line="360" w:lineRule="auto"/>
        <w:jc w:val="both"/>
        <w:textAlignment w:val="baseline"/>
        <w:rPr>
          <w:rFonts w:ascii="Arial" w:eastAsia="Andale Sans UI" w:hAnsi="Arial" w:cs="Arial"/>
          <w:color w:val="auto"/>
          <w:spacing w:val="-2"/>
          <w:u w:val="single"/>
          <w:lang w:eastAsia="ja-JP" w:bidi="fa-IR"/>
        </w:rPr>
      </w:pPr>
    </w:p>
    <w:p w14:paraId="4F3A92F4" w14:textId="77777777" w:rsidR="004F74DE" w:rsidRPr="00F0151C" w:rsidRDefault="004F74DE" w:rsidP="00346E67">
      <w:pPr>
        <w:widowControl w:val="0"/>
        <w:tabs>
          <w:tab w:val="left" w:pos="-8505"/>
          <w:tab w:val="left" w:pos="-2127"/>
          <w:tab w:val="left" w:pos="360"/>
        </w:tabs>
        <w:suppressAutoHyphens/>
        <w:spacing w:after="0" w:line="360" w:lineRule="auto"/>
        <w:jc w:val="both"/>
        <w:textAlignment w:val="baseline"/>
        <w:rPr>
          <w:rFonts w:ascii="Arial" w:eastAsia="Andale Sans UI" w:hAnsi="Arial" w:cs="Arial"/>
          <w:color w:val="auto"/>
          <w:spacing w:val="-2"/>
          <w:u w:val="single"/>
          <w:lang w:eastAsia="ja-JP" w:bidi="fa-IR"/>
        </w:rPr>
      </w:pPr>
    </w:p>
    <w:bookmarkEnd w:id="54"/>
    <w:p w14:paraId="17B27EE3" w14:textId="77777777" w:rsidR="0014112B" w:rsidRPr="00F0151C" w:rsidRDefault="0014112B" w:rsidP="00124316">
      <w:pPr>
        <w:autoSpaceDE w:val="0"/>
        <w:autoSpaceDN w:val="0"/>
        <w:adjustRightInd w:val="0"/>
        <w:spacing w:after="0" w:line="360" w:lineRule="auto"/>
        <w:ind w:firstLine="567"/>
        <w:jc w:val="both"/>
        <w:rPr>
          <w:rFonts w:ascii="Arial" w:hAnsi="Arial" w:cs="Arial"/>
          <w:color w:val="auto"/>
        </w:rPr>
      </w:pPr>
      <w:r w:rsidRPr="00F0151C">
        <w:rPr>
          <w:rFonts w:ascii="Arial" w:hAnsi="Arial" w:cs="Arial"/>
          <w:color w:val="auto"/>
        </w:rPr>
        <w:lastRenderedPageBreak/>
        <w:t>Zgodnie z Instrukcją zamówienia o wartości poniżej 130 000 zł muszą być dokonywane zgodnie z ustawą o finansach publicznych w podziale na postępowania:</w:t>
      </w:r>
    </w:p>
    <w:p w14:paraId="59A2504E" w14:textId="19C5853A" w:rsidR="0091340E" w:rsidRPr="00F0151C" w:rsidRDefault="0014112B" w:rsidP="00124316">
      <w:pPr>
        <w:pStyle w:val="Akapitzlist"/>
        <w:widowControl/>
        <w:numPr>
          <w:ilvl w:val="0"/>
          <w:numId w:val="59"/>
        </w:numPr>
        <w:suppressAutoHyphens w:val="0"/>
        <w:overflowPunct/>
        <w:autoSpaceDE w:val="0"/>
        <w:autoSpaceDN w:val="0"/>
        <w:adjustRightInd w:val="0"/>
        <w:ind w:left="567" w:hanging="567"/>
        <w:textAlignment w:val="auto"/>
        <w:rPr>
          <w:rFonts w:ascii="Arial" w:hAnsi="Arial" w:cs="Arial"/>
          <w:color w:val="auto"/>
          <w:sz w:val="22"/>
          <w:szCs w:val="22"/>
          <w:lang w:val="pl-PL"/>
        </w:rPr>
      </w:pPr>
      <w:r w:rsidRPr="00F0151C">
        <w:rPr>
          <w:rFonts w:ascii="Arial" w:hAnsi="Arial" w:cs="Arial"/>
          <w:color w:val="auto"/>
          <w:sz w:val="22"/>
          <w:szCs w:val="22"/>
          <w:lang w:val="pl-PL"/>
        </w:rPr>
        <w:t>o wartości poniżej 5 000 zł, przy którym nie jest wymagane złożenie wniosku,</w:t>
      </w:r>
      <w:r w:rsidR="0091340E" w:rsidRPr="00F0151C">
        <w:rPr>
          <w:rFonts w:ascii="Arial" w:hAnsi="Arial" w:cs="Arial"/>
          <w:color w:val="auto"/>
          <w:sz w:val="22"/>
          <w:szCs w:val="22"/>
          <w:lang w:val="pl-PL"/>
        </w:rPr>
        <w:t xml:space="preserve"> </w:t>
      </w:r>
      <w:r w:rsidRPr="00F0151C">
        <w:rPr>
          <w:rFonts w:ascii="Arial" w:hAnsi="Arial" w:cs="Arial"/>
          <w:color w:val="auto"/>
          <w:sz w:val="22"/>
          <w:szCs w:val="22"/>
          <w:lang w:val="pl-PL"/>
        </w:rPr>
        <w:t>a</w:t>
      </w:r>
      <w:r w:rsidR="00340D5F" w:rsidRPr="00F0151C">
        <w:rPr>
          <w:rFonts w:ascii="Arial" w:hAnsi="Arial" w:cs="Arial"/>
          <w:color w:val="auto"/>
          <w:sz w:val="22"/>
          <w:szCs w:val="22"/>
          <w:lang w:val="pl-PL"/>
        </w:rPr>
        <w:t> </w:t>
      </w:r>
      <w:r w:rsidRPr="00F0151C">
        <w:rPr>
          <w:rFonts w:ascii="Arial" w:hAnsi="Arial" w:cs="Arial"/>
          <w:color w:val="auto"/>
          <w:sz w:val="22"/>
          <w:szCs w:val="22"/>
          <w:lang w:val="pl-PL"/>
        </w:rPr>
        <w:t>zamówienie udziela się wykonawcy wybranemu na podstawie rozeznania cenowego</w:t>
      </w:r>
      <w:r w:rsidR="00340D5F" w:rsidRPr="00F0151C">
        <w:rPr>
          <w:rFonts w:ascii="Arial" w:hAnsi="Arial" w:cs="Arial"/>
          <w:color w:val="auto"/>
          <w:sz w:val="22"/>
          <w:szCs w:val="22"/>
          <w:lang w:val="pl-PL"/>
        </w:rPr>
        <w:t> </w:t>
      </w:r>
      <w:r w:rsidRPr="00F0151C">
        <w:rPr>
          <w:rFonts w:ascii="Arial" w:hAnsi="Arial" w:cs="Arial"/>
          <w:color w:val="auto"/>
          <w:sz w:val="22"/>
          <w:szCs w:val="22"/>
          <w:lang w:val="pl-PL"/>
        </w:rPr>
        <w:t>rynku w formie pisemnego zlecenia podpisanego przez Głównego Księgowego i Dyrektora Zakładu lub osobę upoważnioną,</w:t>
      </w:r>
    </w:p>
    <w:p w14:paraId="5443C93C" w14:textId="77777777" w:rsidR="00124316" w:rsidRPr="00F0151C" w:rsidRDefault="0014112B" w:rsidP="00124316">
      <w:pPr>
        <w:pStyle w:val="Akapitzlist"/>
        <w:widowControl/>
        <w:numPr>
          <w:ilvl w:val="0"/>
          <w:numId w:val="59"/>
        </w:numPr>
        <w:suppressAutoHyphens w:val="0"/>
        <w:overflowPunct/>
        <w:autoSpaceDE w:val="0"/>
        <w:autoSpaceDN w:val="0"/>
        <w:adjustRightInd w:val="0"/>
        <w:ind w:left="567" w:hanging="567"/>
        <w:textAlignment w:val="auto"/>
        <w:rPr>
          <w:rFonts w:ascii="Arial" w:hAnsi="Arial" w:cs="Arial"/>
          <w:color w:val="auto"/>
          <w:sz w:val="22"/>
          <w:szCs w:val="22"/>
          <w:lang w:val="pl-PL"/>
        </w:rPr>
      </w:pPr>
      <w:r w:rsidRPr="00F0151C">
        <w:rPr>
          <w:rFonts w:ascii="Arial" w:hAnsi="Arial" w:cs="Arial"/>
          <w:color w:val="auto"/>
          <w:sz w:val="22"/>
          <w:szCs w:val="22"/>
          <w:lang w:val="pl-PL"/>
        </w:rPr>
        <w:t>o wartości od 5 000 zł do wartości 10 000 zł, przy którym wymagane jest złożenie wniosku o udzielenie zamówienia, który podlega zatwierdzeniu przez Dyrektora. Zaproszenie do złożenia oferty cenowej należy kierować do co najmniej 2 wykonawców. Zaproszenie i składane oferty mogą być kierowane drogą wskazaną przez zamawiającego w zaproszeniu, które następnie załącza się do protokołu zamówienia. Z wyboru ofert sporządza się każdorazowo protokół zamówienia, który wraz z załącznikami przedstawia się Dyrektorowi.</w:t>
      </w:r>
    </w:p>
    <w:p w14:paraId="05AE55BC" w14:textId="16E7C380" w:rsidR="0014112B" w:rsidRPr="00F0151C" w:rsidRDefault="0014112B" w:rsidP="00124316">
      <w:pPr>
        <w:pStyle w:val="Akapitzlist"/>
        <w:widowControl/>
        <w:numPr>
          <w:ilvl w:val="0"/>
          <w:numId w:val="59"/>
        </w:numPr>
        <w:suppressAutoHyphens w:val="0"/>
        <w:overflowPunct/>
        <w:autoSpaceDE w:val="0"/>
        <w:autoSpaceDN w:val="0"/>
        <w:adjustRightInd w:val="0"/>
        <w:ind w:left="567" w:hanging="567"/>
        <w:textAlignment w:val="auto"/>
        <w:rPr>
          <w:rFonts w:ascii="Arial" w:hAnsi="Arial" w:cs="Arial"/>
          <w:color w:val="auto"/>
          <w:sz w:val="22"/>
          <w:szCs w:val="22"/>
          <w:lang w:val="pl-PL"/>
        </w:rPr>
      </w:pPr>
      <w:r w:rsidRPr="00F0151C">
        <w:rPr>
          <w:rFonts w:ascii="Arial" w:hAnsi="Arial" w:cs="Arial"/>
          <w:color w:val="auto"/>
          <w:sz w:val="22"/>
          <w:szCs w:val="22"/>
          <w:lang w:val="pl-PL"/>
        </w:rPr>
        <w:t>o wartości od 10 000 zł do 130 000 zł, które rozpoczyna się od złożenia wniosku o wszczęcie postępowania zatwierdzanego przez Dyrektora. Wzór oferty oraz treść zaproszenia do złożenia oferty, niezwłocznie zamieszcza się na stronie internetowej Zamawiającego: mzbm.tychy.pl. Zamawiający może, po zamieszczeniu zaproszenia do złożenia oferty, bezpośrednio poinformować o wszczęciu postępowania o udzielenie zamówienia znanych sobie wykonawców. Z wyboru ofert sporządza się każdorazowo protokół zamówienia, który wraz z załącznikami przedstawia się Dyrektorowi. Informację z wyboru oferty należy zamieszczać na stronie internetowej MZBM. Jeżeli wartość zamówienia przekracza kwotę 50 000 zł, a zamówienie realizowane jest przy współfinansowaniu ze środków unijnych, ogłoszenie o zamówieniu umieszcza się na stronie Bazy Konkurencyjności (bazakonkurencyjnosci.gov.pl).</w:t>
      </w:r>
    </w:p>
    <w:p w14:paraId="5CC71D6F" w14:textId="77777777" w:rsidR="00124316" w:rsidRPr="00F0151C" w:rsidRDefault="00124316" w:rsidP="00124316">
      <w:pPr>
        <w:pStyle w:val="Akapitzlist"/>
        <w:widowControl/>
        <w:suppressAutoHyphens w:val="0"/>
        <w:overflowPunct/>
        <w:autoSpaceDE w:val="0"/>
        <w:autoSpaceDN w:val="0"/>
        <w:adjustRightInd w:val="0"/>
        <w:ind w:left="567"/>
        <w:textAlignment w:val="auto"/>
        <w:rPr>
          <w:rFonts w:ascii="Arial" w:hAnsi="Arial" w:cs="Arial"/>
          <w:color w:val="auto"/>
          <w:sz w:val="22"/>
          <w:szCs w:val="22"/>
          <w:lang w:val="pl-PL"/>
        </w:rPr>
      </w:pPr>
    </w:p>
    <w:p w14:paraId="310F97CB" w14:textId="59942308" w:rsidR="004A7B7D" w:rsidRPr="00F0151C" w:rsidRDefault="0014112B" w:rsidP="0006122F">
      <w:pPr>
        <w:autoSpaceDE w:val="0"/>
        <w:autoSpaceDN w:val="0"/>
        <w:adjustRightInd w:val="0"/>
        <w:spacing w:after="0" w:line="360" w:lineRule="auto"/>
        <w:ind w:firstLine="708"/>
        <w:jc w:val="both"/>
        <w:rPr>
          <w:rFonts w:ascii="Arial" w:hAnsi="Arial" w:cs="Arial"/>
          <w:color w:val="auto"/>
        </w:rPr>
      </w:pPr>
      <w:r w:rsidRPr="00F0151C">
        <w:rPr>
          <w:rFonts w:ascii="Arial" w:hAnsi="Arial" w:cs="Arial"/>
          <w:color w:val="auto"/>
        </w:rPr>
        <w:t>Kontroli poddano niżej wymienione zamówienia o wartości poniżej 130 000 zł:</w:t>
      </w:r>
    </w:p>
    <w:p w14:paraId="7A4C36A8" w14:textId="77777777" w:rsidR="0091340E" w:rsidRPr="00F0151C" w:rsidRDefault="0091340E" w:rsidP="00124316">
      <w:pPr>
        <w:autoSpaceDE w:val="0"/>
        <w:autoSpaceDN w:val="0"/>
        <w:adjustRightInd w:val="0"/>
        <w:spacing w:after="0" w:line="360" w:lineRule="auto"/>
        <w:jc w:val="both"/>
        <w:rPr>
          <w:rFonts w:ascii="Arial" w:hAnsi="Arial" w:cs="Arial"/>
          <w:color w:val="auto"/>
          <w:u w:val="single"/>
        </w:rPr>
      </w:pPr>
      <w:r w:rsidRPr="00F0151C">
        <w:rPr>
          <w:rFonts w:ascii="Arial" w:hAnsi="Arial" w:cs="Arial"/>
          <w:color w:val="auto"/>
          <w:u w:val="single"/>
        </w:rPr>
        <w:t>Doraźne utrzymanie terenów zielonych administrowanych przez Rejon Obsługi Mieszkańców nr I, II, III, IV w okresie od 1.06.2022 r. do 30.06.2022 r.</w:t>
      </w:r>
    </w:p>
    <w:p w14:paraId="2572AEBE" w14:textId="5891FA3B" w:rsidR="008C481C" w:rsidRPr="00F0151C" w:rsidRDefault="0091340E" w:rsidP="004A7B7D">
      <w:pPr>
        <w:autoSpaceDE w:val="0"/>
        <w:autoSpaceDN w:val="0"/>
        <w:adjustRightInd w:val="0"/>
        <w:spacing w:after="0" w:line="360" w:lineRule="auto"/>
        <w:ind w:firstLine="708"/>
        <w:jc w:val="both"/>
        <w:rPr>
          <w:rFonts w:ascii="Arial" w:hAnsi="Arial" w:cs="Arial"/>
          <w:color w:val="auto"/>
        </w:rPr>
      </w:pPr>
      <w:r w:rsidRPr="00F0151C">
        <w:rPr>
          <w:rFonts w:ascii="Arial" w:hAnsi="Arial" w:cs="Arial"/>
          <w:color w:val="auto"/>
        </w:rPr>
        <w:t xml:space="preserve">Wartość szacunkową zamówienia ustalono 30.05.2022 r. na podstawie rozeznania cen rynkowych  na kwotę 96 799,30 zł netto. Wobec powyższego zastosowano tryb poza ustawą </w:t>
      </w:r>
      <w:proofErr w:type="spellStart"/>
      <w:r w:rsidRPr="00F0151C">
        <w:rPr>
          <w:rFonts w:ascii="Arial" w:hAnsi="Arial" w:cs="Arial"/>
          <w:color w:val="auto"/>
        </w:rPr>
        <w:t>pzp</w:t>
      </w:r>
      <w:proofErr w:type="spellEnd"/>
      <w:r w:rsidRPr="00F0151C">
        <w:rPr>
          <w:rFonts w:ascii="Arial" w:hAnsi="Arial" w:cs="Arial"/>
          <w:color w:val="auto"/>
        </w:rPr>
        <w:t>, określony w obowiązującym w zakładzie regulaminie udzielania zamówień publicznych dla zamówień o wartości od 10 000 zł do 130 000 zł.</w:t>
      </w:r>
      <w:r w:rsidRPr="00F0151C">
        <w:rPr>
          <w:rFonts w:ascii="Arial" w:hAnsi="Arial" w:cs="Arial"/>
          <w:b/>
          <w:bCs/>
          <w:color w:val="auto"/>
        </w:rPr>
        <w:t xml:space="preserve"> </w:t>
      </w:r>
      <w:r w:rsidRPr="00F0151C">
        <w:rPr>
          <w:rFonts w:ascii="Arial" w:hAnsi="Arial" w:cs="Arial"/>
          <w:color w:val="auto"/>
        </w:rPr>
        <w:t>Zgodnie z ww. instrukcją</w:t>
      </w:r>
      <w:r w:rsidRPr="00F0151C">
        <w:rPr>
          <w:rFonts w:ascii="Arial" w:hAnsi="Arial" w:cs="Arial"/>
          <w:b/>
          <w:bCs/>
          <w:color w:val="auto"/>
        </w:rPr>
        <w:t xml:space="preserve"> </w:t>
      </w:r>
      <w:r w:rsidRPr="00F0151C">
        <w:rPr>
          <w:rFonts w:ascii="Arial" w:hAnsi="Arial" w:cs="Arial"/>
          <w:color w:val="auto"/>
        </w:rPr>
        <w:t xml:space="preserve"> wzór oferty oraz treść zaproszenia do złożenia oferty  niezwłocznie zamieszcza się na stronie internetowej Zamawiającego. Przy czym w przedmiotowym zamówieniu skorzystano z</w:t>
      </w:r>
      <w:r w:rsidR="00340D5F" w:rsidRPr="00F0151C">
        <w:rPr>
          <w:rFonts w:ascii="Arial" w:hAnsi="Arial" w:cs="Arial"/>
          <w:color w:val="auto"/>
        </w:rPr>
        <w:t> </w:t>
      </w:r>
      <w:r w:rsidRPr="00F0151C">
        <w:rPr>
          <w:rFonts w:ascii="Arial" w:hAnsi="Arial" w:cs="Arial"/>
          <w:color w:val="auto"/>
        </w:rPr>
        <w:t>zapisu wprowadzonego Aneksem nr 6 do instrukcji z dnia 1.06.2022 r., zgodnie z którym: „</w:t>
      </w:r>
      <w:r w:rsidRPr="00F0151C">
        <w:rPr>
          <w:rFonts w:ascii="Arial" w:hAnsi="Arial" w:cs="Arial"/>
          <w:i/>
          <w:iCs/>
          <w:color w:val="auto"/>
        </w:rPr>
        <w:t xml:space="preserve">Jeżeli ze względu na wyjątkową i uzasadnioną sytuację wymagane jest pilne udzielenie </w:t>
      </w:r>
      <w:r w:rsidRPr="00F0151C">
        <w:rPr>
          <w:rFonts w:ascii="Arial" w:hAnsi="Arial" w:cs="Arial"/>
          <w:i/>
          <w:iCs/>
          <w:color w:val="auto"/>
        </w:rPr>
        <w:lastRenderedPageBreak/>
        <w:t>zamówienia, dopuszcza się możliwość przeprowadzenia negocjacji z jednym wybranym wykonawcą oraz udzielenie zamówienia z pominięciem procedur określonych w Rozdziale VII niniejszej Instrukcji, w szczególności w zakresie odstąpienia od zamieszczenia ogłoszenia w Biuletynie Informacji Publicznej i na stronie internetowej Zamawiającego</w:t>
      </w:r>
      <w:r w:rsidRPr="00F0151C">
        <w:rPr>
          <w:rFonts w:ascii="Arial" w:hAnsi="Arial" w:cs="Arial"/>
          <w:color w:val="auto"/>
        </w:rPr>
        <w:t xml:space="preserve">.” Jak wynika bowiem z </w:t>
      </w:r>
      <w:r w:rsidR="005E69B7" w:rsidRPr="00F0151C">
        <w:rPr>
          <w:rFonts w:ascii="Arial" w:hAnsi="Arial" w:cs="Arial"/>
          <w:color w:val="auto"/>
        </w:rPr>
        <w:t xml:space="preserve">wyjaśnienia </w:t>
      </w:r>
      <w:proofErr w:type="spellStart"/>
      <w:r w:rsidR="005E69B7" w:rsidRPr="00F0151C">
        <w:rPr>
          <w:rFonts w:ascii="Arial" w:hAnsi="Arial" w:cs="Arial"/>
          <w:color w:val="auto"/>
        </w:rPr>
        <w:t>przedłożponego</w:t>
      </w:r>
      <w:proofErr w:type="spellEnd"/>
      <w:r w:rsidRPr="00F0151C">
        <w:rPr>
          <w:rFonts w:ascii="Arial" w:hAnsi="Arial" w:cs="Arial"/>
          <w:color w:val="auto"/>
        </w:rPr>
        <w:t xml:space="preserve"> do kontroli „</w:t>
      </w:r>
      <w:r w:rsidRPr="00F0151C">
        <w:rPr>
          <w:rFonts w:ascii="Arial" w:hAnsi="Arial" w:cs="Arial"/>
          <w:i/>
          <w:iCs/>
          <w:color w:val="auto"/>
        </w:rPr>
        <w:t>poprzednie postępowanie przetargowe zostało zakończone zawarciem umowy na wykonanie usług z terminem zakończenia 30.05.2022 r. Przetarg nieograniczony został ogłoszony w dniu 1.03.2022 r. Postępowanie zostało unieważnione w dniu 21.04.2022 r. ze względu na to, że cena najkorzystniejszej oferty niepodlegającej odrzuceniu przewyższała kwotę, którą Zamawiający zamierzał przeznaczyć na sfinansowanie zamówienia. Powtórnie przeprowadzone postępowanie przetargowe w zakresie ROM IV zostało unieważnione 24.05.2022 r. Kolejne postępowanie przetargowe w zakresie ROM IV zostanie ogłoszone, gdy upłynie termin przewidziany w PZP na wniesienie odwołania, tj. 6.06.2022 r. z terminem otwarcia 7.07.2022 r.  Powtórne postępowanie przetargowe w zakresie ROM I, ROM II, ROM III zostało ogłoszone w dniu 13.05.2022 r. z terminem otwarcia 8.06.2022 r. Usługi sprzątania są usługami, które należy wykonać, jednak ze względu na zaistniałą sytuację oraz wydłużone procedury przetargowe, niemożliwe jest zawarcie umowy od 1.06.2022 r. Zamawiający podjął decyzję o wykonywaniu podstawowych, niezbędnych usług utrzymania terenów. Wystąpiono z zapytaniem do kilku firm wykonujących usługi utrzymania terenów zielonych zarówno na terenach gminnych, jak i terenach Wspólnot Mieszkaniowych oraz do firm biorących udział w postepowaniach przetargowych w poprzednich latach. Tylko jedna z</w:t>
      </w:r>
      <w:r w:rsidR="00340D5F" w:rsidRPr="00F0151C">
        <w:rPr>
          <w:rFonts w:ascii="Arial" w:hAnsi="Arial" w:cs="Arial"/>
          <w:i/>
          <w:iCs/>
          <w:color w:val="auto"/>
        </w:rPr>
        <w:t> </w:t>
      </w:r>
      <w:r w:rsidRPr="00F0151C">
        <w:rPr>
          <w:rFonts w:ascii="Arial" w:hAnsi="Arial" w:cs="Arial"/>
          <w:i/>
          <w:iCs/>
          <w:color w:val="auto"/>
        </w:rPr>
        <w:t>zapytanych firm wyraziła chęć wykonania usługi. W związku z powyższym, Zamawiający wystosował zaproszenie tylko do jednego Wykonawcy, który wyraził chęć wykonania usług utrzymania zieleni”</w:t>
      </w:r>
      <w:r w:rsidRPr="00F0151C">
        <w:rPr>
          <w:rFonts w:ascii="Arial" w:hAnsi="Arial" w:cs="Arial"/>
          <w:color w:val="auto"/>
        </w:rPr>
        <w:t>. Zgodnie z ww. wyjaśnieniami zaproszenie skierowano do jednego Wykonawcy, który złożył ofertę na kwotę 120 244,69 zł brutto. Z uwagi na fakt, że kwota oferty przewyższała o 15 701,45 zł szacunkową wartość zamówienia, 31.05.2022 r. Dyrektor jednostki zatwierdził wniosek Komisji o podwyższenie kwoty na wykonanie zamówienia. W</w:t>
      </w:r>
      <w:r w:rsidR="00340D5F" w:rsidRPr="00F0151C">
        <w:rPr>
          <w:rFonts w:ascii="Arial" w:hAnsi="Arial" w:cs="Arial"/>
          <w:color w:val="auto"/>
        </w:rPr>
        <w:t> </w:t>
      </w:r>
      <w:r w:rsidRPr="00F0151C">
        <w:rPr>
          <w:rFonts w:ascii="Arial" w:hAnsi="Arial" w:cs="Arial"/>
          <w:color w:val="auto"/>
        </w:rPr>
        <w:t>dniu 6.06.2022 r. sporządzono ciąg dalszy protokołu oceny ofert zgodnie z którym, Wykonawca „z uwagi na inne zobowiązania i brak możliwości świadczenia usług utrzymania czystości w zakresie  ROM I, ROM II, ROM III wyraził wolę zawarcia umowy na realizację umowy w zakresie ROM IV”. Cena oferty została zaktualizowana na kwotę 40 020,09 zł brutto. W dniu 7.06.2022 r. z Wykonawcą podpisano umowę na świadczenie usług związanych z utrzymaniem terenów zielonych administrowanych przez ROM IV, z terminem</w:t>
      </w:r>
      <w:r w:rsidR="0006122F" w:rsidRPr="00F0151C">
        <w:rPr>
          <w:rFonts w:ascii="Arial" w:hAnsi="Arial" w:cs="Arial"/>
          <w:color w:val="auto"/>
        </w:rPr>
        <w:t xml:space="preserve"> </w:t>
      </w:r>
      <w:r w:rsidRPr="00F0151C">
        <w:rPr>
          <w:rFonts w:ascii="Arial" w:hAnsi="Arial" w:cs="Arial"/>
          <w:color w:val="auto"/>
        </w:rPr>
        <w:t xml:space="preserve">obowiązywania od 7.06.2022 r. do 30.06.2022 r. W zakresie przedmiotowego postępowania nie stwierdzono nieprawidłowości. </w:t>
      </w:r>
    </w:p>
    <w:p w14:paraId="3D47317D" w14:textId="77777777" w:rsidR="004A7B7D" w:rsidRPr="00F0151C" w:rsidRDefault="004A7B7D" w:rsidP="004A7B7D">
      <w:pPr>
        <w:autoSpaceDE w:val="0"/>
        <w:autoSpaceDN w:val="0"/>
        <w:adjustRightInd w:val="0"/>
        <w:spacing w:after="0" w:line="360" w:lineRule="auto"/>
        <w:ind w:firstLine="708"/>
        <w:jc w:val="both"/>
        <w:rPr>
          <w:rFonts w:ascii="Arial" w:hAnsi="Arial" w:cs="Arial"/>
          <w:color w:val="auto"/>
        </w:rPr>
      </w:pPr>
    </w:p>
    <w:p w14:paraId="2A48C56E" w14:textId="77777777" w:rsidR="0014112B" w:rsidRPr="00F0151C" w:rsidRDefault="0014112B" w:rsidP="0014112B">
      <w:pPr>
        <w:widowControl w:val="0"/>
        <w:tabs>
          <w:tab w:val="left" w:pos="-8505"/>
          <w:tab w:val="left" w:pos="-2127"/>
        </w:tabs>
        <w:suppressAutoHyphens/>
        <w:overflowPunct/>
        <w:spacing w:after="160" w:line="360" w:lineRule="auto"/>
        <w:contextualSpacing/>
        <w:jc w:val="both"/>
        <w:textAlignment w:val="baseline"/>
        <w:rPr>
          <w:rFonts w:ascii="Arial" w:eastAsia="Andale Sans UI" w:hAnsi="Arial" w:cs="Arial"/>
          <w:color w:val="auto"/>
          <w:spacing w:val="-2"/>
          <w:u w:val="single"/>
          <w:lang w:eastAsia="ja-JP" w:bidi="fa-IR"/>
        </w:rPr>
      </w:pPr>
      <w:r w:rsidRPr="00F0151C">
        <w:rPr>
          <w:rFonts w:ascii="Arial" w:eastAsia="Andale Sans UI" w:hAnsi="Arial" w:cs="Arial"/>
          <w:color w:val="auto"/>
          <w:spacing w:val="-2"/>
          <w:u w:val="single"/>
          <w:lang w:eastAsia="ja-JP" w:bidi="fa-IR"/>
        </w:rPr>
        <w:lastRenderedPageBreak/>
        <w:t>Serwis kotłów gazowych w budynku przy ul. Katowickiej</w:t>
      </w:r>
    </w:p>
    <w:p w14:paraId="44CAC382" w14:textId="4CF5AE01" w:rsidR="0014112B" w:rsidRPr="00F0151C" w:rsidRDefault="0014112B" w:rsidP="0014112B">
      <w:pPr>
        <w:widowControl w:val="0"/>
        <w:tabs>
          <w:tab w:val="left" w:pos="-8505"/>
          <w:tab w:val="left" w:pos="-2127"/>
          <w:tab w:val="left" w:pos="426"/>
        </w:tabs>
        <w:suppressAutoHyphens/>
        <w:overflowPunct/>
        <w:spacing w:after="160" w:line="360" w:lineRule="auto"/>
        <w:contextualSpacing/>
        <w:jc w:val="both"/>
        <w:textAlignment w:val="baseline"/>
        <w:rPr>
          <w:rFonts w:ascii="ArialMT" w:eastAsia="Calibri" w:hAnsi="ArialMT" w:cs="ArialMT"/>
          <w:color w:val="auto"/>
          <w:lang w:eastAsia="en-US"/>
          <w14:ligatures w14:val="standardContextual"/>
        </w:rPr>
      </w:pPr>
      <w:r w:rsidRPr="00F0151C">
        <w:rPr>
          <w:rFonts w:ascii="Arial" w:eastAsia="Andale Sans UI" w:hAnsi="Arial" w:cs="Arial"/>
          <w:color w:val="auto"/>
          <w:spacing w:val="-2"/>
          <w:lang w:eastAsia="ja-JP" w:bidi="fa-IR"/>
        </w:rPr>
        <w:t>Szacunkowa wartość zamówienia określona w dniu 12.01.2022 r. na podstawie kalkulacji cenowej wynosiła 4 060,00 zł netto (4 384,80 zł brutto). Zgodnie z regulaminem zamówień d</w:t>
      </w:r>
      <w:r w:rsidRPr="00F0151C">
        <w:rPr>
          <w:rFonts w:ascii="ArialMT" w:eastAsia="Calibri" w:hAnsi="ArialMT" w:cs="ArialMT"/>
          <w:color w:val="auto"/>
          <w:lang w:eastAsia="en-US"/>
          <w14:ligatures w14:val="standardContextual"/>
        </w:rPr>
        <w:t>o postępowań o udzielenie zamówienia prowadzonego poniżej wartości 5 000 zł, procedura nie wymaga złożenia wniosku o udzielenie zamówienia. Zamówienia udziela się wykonawcy wybranemu na podstawie rozeznania cenowego rynku w formie pisemnego zlecenia podpisanego przez Głównego Księgowego i Dyrektora Zakładu lub osobę upoważnioną. Z</w:t>
      </w:r>
      <w:r w:rsidR="00340D5F" w:rsidRPr="00F0151C">
        <w:rPr>
          <w:rFonts w:ascii="ArialMT" w:eastAsia="Calibri" w:hAnsi="ArialMT" w:cs="ArialMT"/>
          <w:color w:val="auto"/>
          <w:lang w:eastAsia="en-US"/>
          <w14:ligatures w14:val="standardContextual"/>
        </w:rPr>
        <w:t> </w:t>
      </w:r>
      <w:r w:rsidRPr="00F0151C">
        <w:rPr>
          <w:rFonts w:ascii="ArialMT" w:eastAsia="Calibri" w:hAnsi="ArialMT" w:cs="ArialMT"/>
          <w:color w:val="auto"/>
          <w:lang w:eastAsia="en-US"/>
          <w14:ligatures w14:val="standardContextual"/>
        </w:rPr>
        <w:t>dokumentacji przedłożonej do kontroli wynika, że zaproszenie do składania ofert skierowano drogą mailową do dwóch Wykonawców, przy czym ofertę złożył tylko jeden Wykonawca. Cena oferty opiewała na kwotę 4 500 zł netto (4 860 zł brutto). W związku z</w:t>
      </w:r>
      <w:r w:rsidR="00340D5F" w:rsidRPr="00F0151C">
        <w:rPr>
          <w:rFonts w:ascii="ArialMT" w:eastAsia="Calibri" w:hAnsi="ArialMT" w:cs="ArialMT"/>
          <w:color w:val="auto"/>
          <w:lang w:eastAsia="en-US"/>
          <w14:ligatures w14:val="standardContextual"/>
        </w:rPr>
        <w:t> </w:t>
      </w:r>
      <w:r w:rsidRPr="00F0151C">
        <w:rPr>
          <w:rFonts w:ascii="ArialMT" w:eastAsia="Calibri" w:hAnsi="ArialMT" w:cs="ArialMT"/>
          <w:color w:val="auto"/>
          <w:lang w:eastAsia="en-US"/>
          <w14:ligatures w14:val="standardContextual"/>
        </w:rPr>
        <w:t>powyższym 20.01.2022 r. ww. Wykonawcy zlecono wykonanie przedmiotowego z</w:t>
      </w:r>
      <w:r w:rsidR="00C879BC" w:rsidRPr="00F0151C">
        <w:rPr>
          <w:rFonts w:ascii="ArialMT" w:eastAsia="Calibri" w:hAnsi="ArialMT" w:cs="ArialMT"/>
          <w:color w:val="auto"/>
          <w:lang w:eastAsia="en-US"/>
          <w14:ligatures w14:val="standardContextual"/>
        </w:rPr>
        <w:t>a</w:t>
      </w:r>
      <w:r w:rsidRPr="00F0151C">
        <w:rPr>
          <w:rFonts w:ascii="ArialMT" w:eastAsia="Calibri" w:hAnsi="ArialMT" w:cs="ArialMT"/>
          <w:color w:val="auto"/>
          <w:lang w:eastAsia="en-US"/>
          <w14:ligatures w14:val="standardContextual"/>
        </w:rPr>
        <w:t>dania. Do kontroli przedłożono 14 protokołów prac, z których wynika, że serwis przeprowadzono w</w:t>
      </w:r>
      <w:r w:rsidR="00340D5F" w:rsidRPr="00F0151C">
        <w:rPr>
          <w:rFonts w:ascii="ArialMT" w:eastAsia="Calibri" w:hAnsi="ArialMT" w:cs="ArialMT"/>
          <w:color w:val="auto"/>
          <w:lang w:eastAsia="en-US"/>
          <w14:ligatures w14:val="standardContextual"/>
        </w:rPr>
        <w:t> </w:t>
      </w:r>
      <w:r w:rsidRPr="00F0151C">
        <w:rPr>
          <w:rFonts w:ascii="ArialMT" w:eastAsia="Calibri" w:hAnsi="ArialMT" w:cs="ArialMT"/>
          <w:color w:val="auto"/>
          <w:lang w:eastAsia="en-US"/>
          <w14:ligatures w14:val="standardContextual"/>
        </w:rPr>
        <w:t>14 lokalach mieszkalnych, w których w większości przeprowadzono konserwację i</w:t>
      </w:r>
      <w:r w:rsidR="00340D5F" w:rsidRPr="00F0151C">
        <w:rPr>
          <w:rFonts w:ascii="ArialMT" w:eastAsia="Calibri" w:hAnsi="ArialMT" w:cs="ArialMT"/>
          <w:color w:val="auto"/>
          <w:lang w:eastAsia="en-US"/>
          <w14:ligatures w14:val="standardContextual"/>
        </w:rPr>
        <w:t> </w:t>
      </w:r>
      <w:r w:rsidRPr="00F0151C">
        <w:rPr>
          <w:rFonts w:ascii="ArialMT" w:eastAsia="Calibri" w:hAnsi="ArialMT" w:cs="ArialMT"/>
          <w:color w:val="auto"/>
          <w:lang w:eastAsia="en-US"/>
          <w14:ligatures w14:val="standardContextual"/>
        </w:rPr>
        <w:t xml:space="preserve">czyszczenie kotłów grzewczych, sprawdzono ich działanie oraz szczelność. W kilku pojedynczych przypadkach naprawiono stwierdzone usterki.  </w:t>
      </w:r>
    </w:p>
    <w:p w14:paraId="4FC5C706" w14:textId="77777777" w:rsidR="0014112B" w:rsidRPr="00F0151C" w:rsidRDefault="0014112B" w:rsidP="0014112B">
      <w:pPr>
        <w:autoSpaceDE w:val="0"/>
        <w:autoSpaceDN w:val="0"/>
        <w:adjustRightInd w:val="0"/>
        <w:spacing w:after="0" w:line="360" w:lineRule="auto"/>
        <w:ind w:firstLine="708"/>
        <w:jc w:val="both"/>
        <w:rPr>
          <w:rFonts w:ascii="ArialMT" w:hAnsi="ArialMT" w:cs="ArialMT"/>
          <w:color w:val="auto"/>
        </w:rPr>
      </w:pPr>
    </w:p>
    <w:p w14:paraId="21576B3D" w14:textId="5F1C55CD" w:rsidR="0014112B" w:rsidRPr="00F0151C" w:rsidRDefault="0014112B" w:rsidP="0014112B">
      <w:pPr>
        <w:autoSpaceDE w:val="0"/>
        <w:autoSpaceDN w:val="0"/>
        <w:adjustRightInd w:val="0"/>
        <w:spacing w:after="0" w:line="360" w:lineRule="auto"/>
        <w:jc w:val="both"/>
        <w:rPr>
          <w:rFonts w:ascii="ArialMT" w:hAnsi="ArialMT" w:cs="ArialMT"/>
          <w:color w:val="auto"/>
          <w:u w:val="single"/>
        </w:rPr>
      </w:pPr>
      <w:r w:rsidRPr="00F0151C">
        <w:rPr>
          <w:rFonts w:ascii="ArialMT" w:hAnsi="ArialMT" w:cs="ArialMT"/>
          <w:color w:val="auto"/>
          <w:u w:val="single"/>
        </w:rPr>
        <w:t>Usługi przeglądu 98 gazowych kotłów dwufunkcyjnych w lokalach mieszkalnych przy ul.</w:t>
      </w:r>
      <w:r w:rsidR="004A7B7D" w:rsidRPr="00F0151C">
        <w:rPr>
          <w:rFonts w:ascii="ArialMT" w:hAnsi="ArialMT" w:cs="ArialMT"/>
          <w:color w:val="auto"/>
          <w:u w:val="single"/>
        </w:rPr>
        <w:t> </w:t>
      </w:r>
      <w:r w:rsidRPr="00F0151C">
        <w:rPr>
          <w:rFonts w:ascii="ArialMT" w:hAnsi="ArialMT" w:cs="ArialMT"/>
          <w:color w:val="auto"/>
          <w:u w:val="single"/>
        </w:rPr>
        <w:t xml:space="preserve">Katowickiej. </w:t>
      </w:r>
    </w:p>
    <w:p w14:paraId="40D92C43" w14:textId="08AFBA1B" w:rsidR="0014112B" w:rsidRPr="00F0151C" w:rsidRDefault="0014112B" w:rsidP="0014112B">
      <w:pPr>
        <w:autoSpaceDE w:val="0"/>
        <w:autoSpaceDN w:val="0"/>
        <w:adjustRightInd w:val="0"/>
        <w:spacing w:after="0" w:line="360" w:lineRule="auto"/>
        <w:jc w:val="both"/>
        <w:rPr>
          <w:rFonts w:ascii="ArialMT" w:hAnsi="ArialMT" w:cs="ArialMT"/>
          <w:color w:val="auto"/>
        </w:rPr>
      </w:pPr>
      <w:r w:rsidRPr="00F0151C">
        <w:rPr>
          <w:rFonts w:ascii="ArialMT" w:hAnsi="ArialMT" w:cs="ArialMT"/>
          <w:color w:val="auto"/>
        </w:rPr>
        <w:t>Zamówienie z uwagi na oszacowaną wartość zamówienia w kwocie 29 400 zł na podstawie kosztorysu inwestorskiego przeprowadzono w trybie zamówień do 130 000 zł w oparciu o</w:t>
      </w:r>
      <w:r w:rsidR="00340D5F" w:rsidRPr="00F0151C">
        <w:rPr>
          <w:rFonts w:ascii="ArialMT" w:hAnsi="ArialMT" w:cs="ArialMT"/>
          <w:color w:val="auto"/>
        </w:rPr>
        <w:t> </w:t>
      </w:r>
      <w:r w:rsidRPr="00F0151C">
        <w:rPr>
          <w:rFonts w:ascii="ArialMT" w:hAnsi="ArialMT" w:cs="ArialMT"/>
          <w:color w:val="auto"/>
        </w:rPr>
        <w:t>Instrukcję zamówień publicznych. Zaproszenie do składania ofert zamieszczono na stronie internetowej zamawiającego 22.08.2022 r. z terminem składania ofert do 30.08.2022 r. Na zaproszenie zgodnie z przedłożoną dokumentacją odpowiedział tylko jeden oferent składając 25.08.2022 r. ofertę spełniającą wymagania z ceną 25 480 zł brutto. Z wykonawcą 19.09.2022 r. podpisano umowę nr DIZ-342/U/173/09/2022 na kwotę 31 340,40 zł brutto z</w:t>
      </w:r>
      <w:r w:rsidR="00340D5F" w:rsidRPr="00F0151C">
        <w:rPr>
          <w:rFonts w:ascii="ArialMT" w:hAnsi="ArialMT" w:cs="ArialMT"/>
          <w:color w:val="auto"/>
        </w:rPr>
        <w:t> </w:t>
      </w:r>
      <w:r w:rsidRPr="00F0151C">
        <w:rPr>
          <w:rFonts w:ascii="ArialMT" w:hAnsi="ArialMT" w:cs="ArialMT"/>
          <w:color w:val="auto"/>
        </w:rPr>
        <w:t xml:space="preserve">terminem realizacji do 30.11.2022 r. Na podstawie faktury nr 5/11/2022 z 18.11.2022 r. poniesiono koszt w kwocie 30 061,20 zł. </w:t>
      </w:r>
    </w:p>
    <w:p w14:paraId="02B5A359" w14:textId="3FE679CC" w:rsidR="00346E67" w:rsidRPr="00F0151C" w:rsidRDefault="00C879BC" w:rsidP="0014112B">
      <w:pPr>
        <w:widowControl w:val="0"/>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u w:val="single"/>
          <w:lang w:eastAsia="ja-JP" w:bidi="fa-IR"/>
        </w:rPr>
      </w:pPr>
      <w:r w:rsidRPr="00F0151C">
        <w:rPr>
          <w:rFonts w:ascii="Arial" w:eastAsia="Andale Sans UI" w:hAnsi="Arial" w:cs="Arial"/>
          <w:color w:val="auto"/>
          <w:spacing w:val="-2"/>
          <w:u w:val="single"/>
          <w:lang w:eastAsia="ja-JP" w:bidi="fa-IR"/>
        </w:rPr>
        <w:t xml:space="preserve">A. </w:t>
      </w:r>
      <w:r w:rsidR="00346E67" w:rsidRPr="00F0151C">
        <w:rPr>
          <w:rFonts w:ascii="Arial" w:eastAsia="Andale Sans UI" w:hAnsi="Arial" w:cs="Arial"/>
          <w:color w:val="auto"/>
          <w:spacing w:val="-2"/>
          <w:u w:val="single"/>
          <w:lang w:eastAsia="ja-JP" w:bidi="fa-IR"/>
        </w:rPr>
        <w:t>Załadunek, przewóz oraz rozładunek elementów wyposażenia lokali, strychów, ganków i</w:t>
      </w:r>
      <w:r w:rsidR="00340D5F" w:rsidRPr="00F0151C">
        <w:rPr>
          <w:rFonts w:ascii="Arial" w:eastAsia="Andale Sans UI" w:hAnsi="Arial" w:cs="Arial"/>
          <w:color w:val="auto"/>
          <w:spacing w:val="-2"/>
          <w:u w:val="single"/>
          <w:lang w:eastAsia="ja-JP" w:bidi="fa-IR"/>
        </w:rPr>
        <w:t> </w:t>
      </w:r>
      <w:r w:rsidR="00346E67" w:rsidRPr="00F0151C">
        <w:rPr>
          <w:rFonts w:ascii="Arial" w:eastAsia="Andale Sans UI" w:hAnsi="Arial" w:cs="Arial"/>
          <w:color w:val="auto"/>
          <w:spacing w:val="-2"/>
          <w:u w:val="single"/>
          <w:lang w:eastAsia="ja-JP" w:bidi="fa-IR"/>
        </w:rPr>
        <w:t>korytarzy piwnicznych, piwnic, oraz klatek schodowych (samochodem dostawczym do 3,5 t) B. Załadunek oraz przewóz elementów wyposażenia lokali, strychów, ganków i korytarzy piwnicznych, piwnic oraz klatek schodowych na składowisko odpadów (samochodem dostawczym do 3,5 t).</w:t>
      </w:r>
    </w:p>
    <w:p w14:paraId="0D483A5E" w14:textId="521F625D" w:rsidR="00346E67" w:rsidRPr="00F0151C" w:rsidRDefault="00AB770F" w:rsidP="00AB770F">
      <w:pPr>
        <w:widowControl w:val="0"/>
        <w:tabs>
          <w:tab w:val="left" w:pos="-8505"/>
          <w:tab w:val="left" w:pos="-2127"/>
          <w:tab w:val="left" w:pos="426"/>
        </w:tabs>
        <w:suppressAutoHyphens/>
        <w:spacing w:after="160" w:line="360" w:lineRule="auto"/>
        <w:contextualSpacing/>
        <w:jc w:val="both"/>
        <w:textAlignment w:val="baseline"/>
        <w:rPr>
          <w:rFonts w:ascii="Arial" w:eastAsia="Andale Sans UI" w:hAnsi="Arial" w:cs="Arial"/>
          <w:color w:val="auto"/>
          <w:spacing w:val="-2"/>
          <w:lang w:eastAsia="ja-JP" w:bidi="fa-IR"/>
        </w:rPr>
      </w:pPr>
      <w:bookmarkStart w:id="55" w:name="_Hlk146104258"/>
      <w:r w:rsidRPr="00F0151C">
        <w:rPr>
          <w:rFonts w:ascii="Arial" w:eastAsia="Andale Sans UI" w:hAnsi="Arial" w:cs="Arial"/>
          <w:color w:val="auto"/>
          <w:spacing w:val="-2"/>
          <w:lang w:eastAsia="ja-JP" w:bidi="fa-IR"/>
        </w:rPr>
        <w:tab/>
      </w:r>
      <w:r w:rsidR="00346E67" w:rsidRPr="00F0151C">
        <w:rPr>
          <w:rFonts w:ascii="Arial" w:eastAsia="Andale Sans UI" w:hAnsi="Arial" w:cs="Arial"/>
          <w:color w:val="auto"/>
          <w:spacing w:val="-2"/>
          <w:lang w:eastAsia="ja-JP" w:bidi="fa-IR"/>
        </w:rPr>
        <w:t>Szacunkowa wartość zamówienia określona</w:t>
      </w:r>
      <w:r w:rsidR="00C879BC" w:rsidRPr="00F0151C">
        <w:rPr>
          <w:rFonts w:ascii="Arial" w:eastAsia="Andale Sans UI" w:hAnsi="Arial" w:cs="Arial"/>
          <w:color w:val="auto"/>
          <w:spacing w:val="-2"/>
          <w:lang w:eastAsia="ja-JP" w:bidi="fa-IR"/>
        </w:rPr>
        <w:t xml:space="preserve"> </w:t>
      </w:r>
      <w:r w:rsidR="00346E67" w:rsidRPr="00F0151C">
        <w:rPr>
          <w:rFonts w:ascii="Arial" w:eastAsia="Andale Sans UI" w:hAnsi="Arial" w:cs="Arial"/>
          <w:color w:val="auto"/>
          <w:spacing w:val="-2"/>
          <w:lang w:eastAsia="ja-JP" w:bidi="fa-IR"/>
        </w:rPr>
        <w:t>18.01.2022 r. na podstawie kalkulacji cenowej wynosiła 88 303,60 zł netto (108 613,43 zł brutto). Postępowanie przeprowadzono zgodnie z procedurą przewidzianą w instrukcj</w:t>
      </w:r>
      <w:r w:rsidR="00C879BC" w:rsidRPr="00F0151C">
        <w:rPr>
          <w:rFonts w:ascii="Arial" w:eastAsia="Andale Sans UI" w:hAnsi="Arial" w:cs="Arial"/>
          <w:color w:val="auto"/>
          <w:spacing w:val="-2"/>
          <w:lang w:eastAsia="ja-JP" w:bidi="fa-IR"/>
        </w:rPr>
        <w:t>i</w:t>
      </w:r>
      <w:r w:rsidR="00346E67" w:rsidRPr="00F0151C">
        <w:rPr>
          <w:rFonts w:ascii="Arial" w:eastAsia="Andale Sans UI" w:hAnsi="Arial" w:cs="Arial"/>
          <w:color w:val="auto"/>
          <w:spacing w:val="-2"/>
          <w:lang w:eastAsia="ja-JP" w:bidi="fa-IR"/>
        </w:rPr>
        <w:t xml:space="preserve"> ramow</w:t>
      </w:r>
      <w:r w:rsidR="00C879BC" w:rsidRPr="00F0151C">
        <w:rPr>
          <w:rFonts w:ascii="Arial" w:eastAsia="Andale Sans UI" w:hAnsi="Arial" w:cs="Arial"/>
          <w:color w:val="auto"/>
          <w:spacing w:val="-2"/>
          <w:lang w:eastAsia="ja-JP" w:bidi="fa-IR"/>
        </w:rPr>
        <w:t>ej</w:t>
      </w:r>
      <w:r w:rsidR="00346E67" w:rsidRPr="00F0151C">
        <w:rPr>
          <w:rFonts w:ascii="Arial" w:eastAsia="Andale Sans UI" w:hAnsi="Arial" w:cs="Arial"/>
          <w:color w:val="auto"/>
          <w:spacing w:val="-2"/>
          <w:lang w:eastAsia="ja-JP" w:bidi="fa-IR"/>
        </w:rPr>
        <w:t xml:space="preserve"> tj. wzór oferty oraz treść zaproszenia do złożenia oferty zamieszczono na stronie internetowej Zamawiającego 20.01.2022 r. Jako </w:t>
      </w:r>
      <w:r w:rsidR="00346E67" w:rsidRPr="00F0151C">
        <w:rPr>
          <w:rFonts w:ascii="Arial" w:eastAsia="Andale Sans UI" w:hAnsi="Arial" w:cs="Arial"/>
          <w:color w:val="auto"/>
          <w:spacing w:val="-2"/>
          <w:lang w:eastAsia="ja-JP" w:bidi="fa-IR"/>
        </w:rPr>
        <w:lastRenderedPageBreak/>
        <w:t>termin realizacji zadania wskazano datę 31.12.2022 r. przy czym zamówienie będzie realizowan</w:t>
      </w:r>
      <w:r w:rsidR="00516E92" w:rsidRPr="00F0151C">
        <w:rPr>
          <w:rFonts w:ascii="Arial" w:eastAsia="Andale Sans UI" w:hAnsi="Arial" w:cs="Arial"/>
          <w:color w:val="auto"/>
          <w:spacing w:val="-2"/>
          <w:lang w:eastAsia="ja-JP" w:bidi="fa-IR"/>
        </w:rPr>
        <w:t>e</w:t>
      </w:r>
      <w:r w:rsidR="00346E67" w:rsidRPr="00F0151C">
        <w:rPr>
          <w:rFonts w:ascii="Arial" w:eastAsia="Andale Sans UI" w:hAnsi="Arial" w:cs="Arial"/>
          <w:color w:val="auto"/>
          <w:spacing w:val="-2"/>
          <w:lang w:eastAsia="ja-JP" w:bidi="fa-IR"/>
        </w:rPr>
        <w:t xml:space="preserve"> na podstawie odrębnych zleceń, według potrzeb. Jako kryterium oceny ofert wskazano 100 % cena. Termin składania ofert wyznaczono na 26.01.2022 r.</w:t>
      </w:r>
      <w:r w:rsidR="00516E92" w:rsidRPr="00F0151C">
        <w:rPr>
          <w:rFonts w:ascii="Arial" w:eastAsia="Andale Sans UI" w:hAnsi="Arial" w:cs="Arial"/>
          <w:color w:val="auto"/>
          <w:spacing w:val="-2"/>
          <w:lang w:eastAsia="ja-JP" w:bidi="fa-IR"/>
        </w:rPr>
        <w:t>,</w:t>
      </w:r>
      <w:r w:rsidR="00346E67" w:rsidRPr="00F0151C">
        <w:rPr>
          <w:rFonts w:ascii="Arial" w:eastAsia="Andale Sans UI" w:hAnsi="Arial" w:cs="Arial"/>
          <w:color w:val="auto"/>
          <w:spacing w:val="-2"/>
          <w:lang w:eastAsia="ja-JP" w:bidi="fa-IR"/>
        </w:rPr>
        <w:t xml:space="preserve"> oferty należało złożyć w siedzibie MZBM lub na adres mailowy zakładu. W przedmiotowym zamówieniu złożone zostały dwie oferty: pierwsza na kwotę 100 368 zł brutto, druga na kwotę 99 408,60</w:t>
      </w:r>
      <w:r w:rsidR="008C481C" w:rsidRPr="00F0151C">
        <w:rPr>
          <w:rFonts w:ascii="Arial" w:eastAsia="Andale Sans UI" w:hAnsi="Arial" w:cs="Arial"/>
          <w:color w:val="auto"/>
          <w:spacing w:val="-2"/>
          <w:lang w:eastAsia="ja-JP" w:bidi="fa-IR"/>
        </w:rPr>
        <w:t> </w:t>
      </w:r>
      <w:r w:rsidR="00346E67" w:rsidRPr="00F0151C">
        <w:rPr>
          <w:rFonts w:ascii="Arial" w:eastAsia="Andale Sans UI" w:hAnsi="Arial" w:cs="Arial"/>
          <w:color w:val="auto"/>
          <w:spacing w:val="-2"/>
          <w:lang w:eastAsia="ja-JP" w:bidi="fa-IR"/>
        </w:rPr>
        <w:t>zł</w:t>
      </w:r>
      <w:r w:rsidR="008C481C" w:rsidRPr="00F0151C">
        <w:rPr>
          <w:rFonts w:ascii="Arial" w:eastAsia="Andale Sans UI" w:hAnsi="Arial" w:cs="Arial"/>
          <w:color w:val="auto"/>
          <w:spacing w:val="-2"/>
          <w:lang w:eastAsia="ja-JP" w:bidi="fa-IR"/>
        </w:rPr>
        <w:t> </w:t>
      </w:r>
      <w:r w:rsidR="00346E67" w:rsidRPr="00F0151C">
        <w:rPr>
          <w:rFonts w:ascii="Arial" w:eastAsia="Andale Sans UI" w:hAnsi="Arial" w:cs="Arial"/>
          <w:color w:val="auto"/>
          <w:spacing w:val="-2"/>
          <w:lang w:eastAsia="ja-JP" w:bidi="fa-IR"/>
        </w:rPr>
        <w:t>brutto. Obie oferty spełniały wymagania wynikające z zaproszenia zamieszczonego na stronie MZBM. Z Wykonawcą oferującym korzystniejszą cenę 1.02.2022</w:t>
      </w:r>
      <w:r w:rsidR="008C481C" w:rsidRPr="00F0151C">
        <w:rPr>
          <w:rFonts w:ascii="Arial" w:eastAsia="Andale Sans UI" w:hAnsi="Arial" w:cs="Arial"/>
          <w:color w:val="auto"/>
          <w:spacing w:val="-2"/>
          <w:lang w:eastAsia="ja-JP" w:bidi="fa-IR"/>
        </w:rPr>
        <w:t> </w:t>
      </w:r>
      <w:r w:rsidR="00346E67" w:rsidRPr="00F0151C">
        <w:rPr>
          <w:rFonts w:ascii="Arial" w:eastAsia="Andale Sans UI" w:hAnsi="Arial" w:cs="Arial"/>
          <w:color w:val="auto"/>
          <w:spacing w:val="-2"/>
          <w:lang w:eastAsia="ja-JP" w:bidi="fa-IR"/>
        </w:rPr>
        <w:t xml:space="preserve">r. podpisano umowę na realizację przedmiotowego zamówienia. Przeprowadzona weryfikacja wykazała, że procedurę zamówienia przeprowadzono zgodnie z zapisami ramowej instrukcji, nie stwierdzając nieprawidłowości.  </w:t>
      </w:r>
    </w:p>
    <w:p w14:paraId="3771C6BD" w14:textId="77777777" w:rsidR="0014112B" w:rsidRPr="00F0151C" w:rsidRDefault="0014112B" w:rsidP="00AB770F">
      <w:pPr>
        <w:widowControl w:val="0"/>
        <w:tabs>
          <w:tab w:val="left" w:pos="-8505"/>
          <w:tab w:val="left" w:pos="-2127"/>
          <w:tab w:val="left" w:pos="426"/>
        </w:tabs>
        <w:suppressAutoHyphens/>
        <w:spacing w:after="160" w:line="360" w:lineRule="auto"/>
        <w:contextualSpacing/>
        <w:jc w:val="both"/>
        <w:textAlignment w:val="baseline"/>
        <w:rPr>
          <w:rFonts w:ascii="Arial" w:eastAsia="Andale Sans UI" w:hAnsi="Arial" w:cs="Arial"/>
          <w:color w:val="auto"/>
          <w:spacing w:val="-2"/>
          <w:lang w:eastAsia="ja-JP" w:bidi="fa-IR"/>
        </w:rPr>
      </w:pPr>
    </w:p>
    <w:p w14:paraId="5D3E53F0" w14:textId="04F82967" w:rsidR="00AB770F" w:rsidRPr="00F0151C" w:rsidRDefault="00346E67" w:rsidP="0014112B">
      <w:pPr>
        <w:widowControl w:val="0"/>
        <w:tabs>
          <w:tab w:val="left" w:pos="-8505"/>
          <w:tab w:val="left" w:pos="-2127"/>
          <w:tab w:val="left" w:pos="426"/>
        </w:tabs>
        <w:suppressAutoHyphens/>
        <w:overflowPunct/>
        <w:spacing w:after="160" w:line="360" w:lineRule="auto"/>
        <w:contextualSpacing/>
        <w:jc w:val="both"/>
        <w:textAlignment w:val="baseline"/>
        <w:rPr>
          <w:rFonts w:ascii="Arial" w:eastAsia="Andale Sans UI" w:hAnsi="Arial" w:cs="Arial"/>
          <w:color w:val="auto"/>
          <w:spacing w:val="-2"/>
          <w:u w:val="single"/>
          <w:lang w:eastAsia="ja-JP" w:bidi="fa-IR"/>
        </w:rPr>
      </w:pPr>
      <w:bookmarkStart w:id="56" w:name="_Hlk146276187"/>
      <w:bookmarkEnd w:id="55"/>
      <w:r w:rsidRPr="00F0151C">
        <w:rPr>
          <w:rFonts w:ascii="Arial" w:eastAsia="Andale Sans UI" w:hAnsi="Arial" w:cs="Arial"/>
          <w:color w:val="auto"/>
          <w:spacing w:val="-2"/>
          <w:u w:val="single"/>
          <w:lang w:eastAsia="ja-JP" w:bidi="fa-IR"/>
        </w:rPr>
        <w:t>Wykonanie okresowych przeglądów stanu technicznego nieruchomości gminnych będących w</w:t>
      </w:r>
      <w:r w:rsidR="00340D5F" w:rsidRPr="00F0151C">
        <w:rPr>
          <w:rFonts w:ascii="Arial" w:eastAsia="Andale Sans UI" w:hAnsi="Arial" w:cs="Arial"/>
          <w:color w:val="auto"/>
          <w:spacing w:val="-2"/>
          <w:u w:val="single"/>
          <w:lang w:eastAsia="ja-JP" w:bidi="fa-IR"/>
        </w:rPr>
        <w:t> </w:t>
      </w:r>
      <w:r w:rsidRPr="00F0151C">
        <w:rPr>
          <w:rFonts w:ascii="Arial" w:eastAsia="Andale Sans UI" w:hAnsi="Arial" w:cs="Arial"/>
          <w:color w:val="auto"/>
          <w:spacing w:val="-2"/>
          <w:u w:val="single"/>
          <w:lang w:eastAsia="ja-JP" w:bidi="fa-IR"/>
        </w:rPr>
        <w:t>administrowaniu MZBM.</w:t>
      </w:r>
      <w:bookmarkStart w:id="57" w:name="_Hlk146276614"/>
      <w:bookmarkEnd w:id="56"/>
    </w:p>
    <w:p w14:paraId="56A0F0DF" w14:textId="567C6342" w:rsidR="00346E67" w:rsidRPr="00F0151C" w:rsidRDefault="00346E67" w:rsidP="00AB770F">
      <w:pPr>
        <w:widowControl w:val="0"/>
        <w:tabs>
          <w:tab w:val="left" w:pos="-8505"/>
          <w:tab w:val="left" w:pos="-2127"/>
        </w:tabs>
        <w:suppressAutoHyphens/>
        <w:overflowPunct/>
        <w:spacing w:after="0" w:line="360" w:lineRule="auto"/>
        <w:ind w:firstLine="434"/>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Wartość szacunkowa zamówienia obliczona 28.03.2022 r.  na podstawie rozeznania cenowego rynku wynosiła 22 136 zł netto (27 227,28 zł brutto). Ze względu na wartość zamówienia zastosowano tryb określony w ramowej instrukcji zamówień publicznych. Zakres usługi obejmował: wykonanie przeglądów rocznych i pięcioletnich stanu technicznego obiektów budowlanych oraz wykonanie badań i pomiarów ochronnych instalacji elektrycznej i</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odgromowej. W opisie przedmiotu zamówienia wskazano, że osoba wykonująca kontrolę musi posiadać :</w:t>
      </w:r>
    </w:p>
    <w:p w14:paraId="77458BED" w14:textId="6D45FBB2" w:rsidR="00346E67" w:rsidRPr="00F0151C" w:rsidRDefault="00346E67" w:rsidP="00326634">
      <w:pPr>
        <w:widowControl w:val="0"/>
        <w:numPr>
          <w:ilvl w:val="0"/>
          <w:numId w:val="48"/>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Uprawnienia budowlane do wykonywania samodzielnej funkcji technicznej w</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budownictwie obejmujące projektowanie lub kierowanie robotami w specjalności </w:t>
      </w:r>
      <w:proofErr w:type="spellStart"/>
      <w:r w:rsidRPr="00F0151C">
        <w:rPr>
          <w:rFonts w:ascii="Arial" w:eastAsia="Andale Sans UI" w:hAnsi="Arial" w:cs="Arial"/>
          <w:color w:val="auto"/>
          <w:spacing w:val="-2"/>
          <w:lang w:eastAsia="ja-JP" w:bidi="fa-IR"/>
        </w:rPr>
        <w:t>konstrukcyjno</w:t>
      </w:r>
      <w:proofErr w:type="spellEnd"/>
      <w:r w:rsidRPr="00F0151C">
        <w:rPr>
          <w:rFonts w:ascii="Arial" w:eastAsia="Andale Sans UI" w:hAnsi="Arial" w:cs="Arial"/>
          <w:color w:val="auto"/>
          <w:spacing w:val="-2"/>
          <w:lang w:eastAsia="ja-JP" w:bidi="fa-IR"/>
        </w:rPr>
        <w:t xml:space="preserve"> – budowlanej bez ograniczeń.</w:t>
      </w:r>
    </w:p>
    <w:p w14:paraId="4215F909" w14:textId="77777777" w:rsidR="00346E67" w:rsidRPr="00F0151C" w:rsidRDefault="00346E67" w:rsidP="00326634">
      <w:pPr>
        <w:widowControl w:val="0"/>
        <w:numPr>
          <w:ilvl w:val="0"/>
          <w:numId w:val="48"/>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Świadectwo kwalifikacyjne grupy I: D (dozór) i E (eksploatacja) z uprawnieniami do wykonywania pomiarów ochronnych.</w:t>
      </w:r>
    </w:p>
    <w:p w14:paraId="6D57120D" w14:textId="58F577B6" w:rsidR="00346E67" w:rsidRPr="00F0151C" w:rsidRDefault="00346E67" w:rsidP="00AB770F">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Zaproszenie do składania ofert zamieszczono na stronie MZBM 13.05.2022 a termin składania ofert wyznaczono na 19.05.2022 r. W odpowiedzi na ogłoszenie złożono 5 ofert na kwoty:</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25</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571,70 zł brutto, 19 581,60 zł brutto, 32 472,00 zł brutto, 40 774,50 zł brutto oraz 12</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894,09</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zł brutto. Ponieważ najniższa oferta znacząco odbiegała ceną od wartości szacunkowej zamówienia (o 52.64%), Wykonawcę pismem z 20.05.2022 r. wezwano do złożenia wyjaśnień w zakresie  ceny oferty, która wydawała się być rażąco niska. Wykonawca w odpowiedzi na ww. pismo złożył wyjaśnienia zawierające kalkulację kosztów, w wyniku czego Zamawiający uznał jego ofertę za najkorzystniejszą. Postępowanie zakończono zawarciem umowy w dniu 30.05.2022 r. Przeprowadzona weryfikacja nie wykazała nieprawidłowości. </w:t>
      </w:r>
      <w:bookmarkEnd w:id="57"/>
    </w:p>
    <w:p w14:paraId="7E4AE077" w14:textId="77777777" w:rsidR="0014112B" w:rsidRPr="00F0151C" w:rsidRDefault="0014112B" w:rsidP="00AB770F">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p>
    <w:p w14:paraId="05A213C6" w14:textId="70682BD0" w:rsidR="00AB770F" w:rsidRPr="00F0151C" w:rsidRDefault="00AB770F" w:rsidP="004F74DE">
      <w:pPr>
        <w:tabs>
          <w:tab w:val="left" w:pos="-8505"/>
          <w:tab w:val="left" w:pos="-2127"/>
        </w:tabs>
        <w:spacing w:after="0" w:line="360" w:lineRule="auto"/>
        <w:rPr>
          <w:rFonts w:ascii="Arial" w:hAnsi="Arial" w:cs="Arial"/>
          <w:color w:val="auto"/>
          <w:spacing w:val="-2"/>
          <w:u w:val="single"/>
        </w:rPr>
      </w:pPr>
      <w:r w:rsidRPr="00F0151C">
        <w:rPr>
          <w:rFonts w:ascii="Arial" w:hAnsi="Arial" w:cs="Arial"/>
          <w:color w:val="auto"/>
          <w:spacing w:val="-2"/>
          <w:u w:val="single"/>
        </w:rPr>
        <w:lastRenderedPageBreak/>
        <w:t>Wykonanie usług dendrologicznych</w:t>
      </w:r>
    </w:p>
    <w:p w14:paraId="52C145B2" w14:textId="07892B26" w:rsidR="0005150B" w:rsidRPr="00F0151C" w:rsidRDefault="0005150B" w:rsidP="004F74DE">
      <w:pPr>
        <w:widowControl w:val="0"/>
        <w:tabs>
          <w:tab w:val="left" w:pos="-8505"/>
          <w:tab w:val="left" w:pos="-2127"/>
        </w:tabs>
        <w:suppressAutoHyphens/>
        <w:overflowPunct/>
        <w:spacing w:after="0" w:line="360" w:lineRule="auto"/>
        <w:ind w:firstLine="434"/>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Zgodnie z wnioskiem o rozpoczęcie postępowania w sprawie zamówienia na usługę przedmiotem zamówienia była usługa obejmując</w:t>
      </w:r>
      <w:r w:rsidR="00940045" w:rsidRPr="00F0151C">
        <w:rPr>
          <w:rFonts w:ascii="Arial" w:eastAsia="Andale Sans UI" w:hAnsi="Arial" w:cs="Arial"/>
          <w:color w:val="auto"/>
          <w:spacing w:val="-2"/>
          <w:lang w:eastAsia="ja-JP" w:bidi="fa-IR"/>
        </w:rPr>
        <w:t>a</w:t>
      </w:r>
      <w:r w:rsidRPr="00F0151C">
        <w:rPr>
          <w:rFonts w:ascii="Arial" w:eastAsia="Andale Sans UI" w:hAnsi="Arial" w:cs="Arial"/>
          <w:color w:val="auto"/>
          <w:spacing w:val="-2"/>
          <w:lang w:eastAsia="ja-JP" w:bidi="fa-IR"/>
        </w:rPr>
        <w:t xml:space="preserve"> swym zakresem 4 zadania, tj.:</w:t>
      </w:r>
    </w:p>
    <w:p w14:paraId="5B9B994D" w14:textId="77777777" w:rsidR="0005150B" w:rsidRPr="00F0151C" w:rsidRDefault="0005150B" w:rsidP="004F74DE">
      <w:pPr>
        <w:pStyle w:val="Akapitzlist"/>
        <w:numPr>
          <w:ilvl w:val="0"/>
          <w:numId w:val="53"/>
        </w:numPr>
        <w:tabs>
          <w:tab w:val="left" w:pos="-8505"/>
          <w:tab w:val="left" w:pos="-2127"/>
        </w:tabs>
        <w:overflowPunct/>
        <w:ind w:left="462" w:hanging="462"/>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wykonanie oceny dendrologicznej drzew (w ilości 280 szt.), </w:t>
      </w:r>
    </w:p>
    <w:p w14:paraId="7B54FE6E" w14:textId="77777777" w:rsidR="0005150B" w:rsidRPr="00F0151C" w:rsidRDefault="0005150B" w:rsidP="004F74DE">
      <w:pPr>
        <w:pStyle w:val="Akapitzlist"/>
        <w:numPr>
          <w:ilvl w:val="0"/>
          <w:numId w:val="53"/>
        </w:numPr>
        <w:tabs>
          <w:tab w:val="left" w:pos="-8505"/>
          <w:tab w:val="left" w:pos="-2127"/>
        </w:tabs>
        <w:overflowPunct/>
        <w:ind w:left="462" w:hanging="462"/>
        <w:rPr>
          <w:rFonts w:ascii="Arial" w:hAnsi="Arial" w:cs="Arial"/>
          <w:color w:val="auto"/>
          <w:spacing w:val="-2"/>
          <w:sz w:val="22"/>
          <w:szCs w:val="22"/>
          <w:lang w:val="pl-PL"/>
        </w:rPr>
      </w:pPr>
      <w:r w:rsidRPr="00F0151C">
        <w:rPr>
          <w:rFonts w:ascii="Arial" w:hAnsi="Arial" w:cs="Arial"/>
          <w:color w:val="auto"/>
          <w:spacing w:val="-2"/>
          <w:sz w:val="22"/>
          <w:szCs w:val="22"/>
          <w:lang w:val="pl-PL"/>
        </w:rPr>
        <w:t>wykonanie operatu dendrologicznego z analizą uniknięcia kolizji planowanej inwestycji z drzewostanem (w ilości 6 szt.),</w:t>
      </w:r>
    </w:p>
    <w:p w14:paraId="06B1AB8A" w14:textId="77777777" w:rsidR="0005150B" w:rsidRPr="00F0151C" w:rsidRDefault="0005150B" w:rsidP="004F74DE">
      <w:pPr>
        <w:pStyle w:val="Akapitzlist"/>
        <w:numPr>
          <w:ilvl w:val="0"/>
          <w:numId w:val="53"/>
        </w:numPr>
        <w:tabs>
          <w:tab w:val="left" w:pos="-8505"/>
          <w:tab w:val="left" w:pos="-2127"/>
        </w:tabs>
        <w:overflowPunct/>
        <w:ind w:left="462" w:hanging="462"/>
        <w:rPr>
          <w:rFonts w:ascii="Arial" w:hAnsi="Arial" w:cs="Arial"/>
          <w:color w:val="auto"/>
          <w:spacing w:val="-2"/>
          <w:sz w:val="22"/>
          <w:szCs w:val="22"/>
          <w:lang w:val="pl-PL"/>
        </w:rPr>
      </w:pPr>
      <w:r w:rsidRPr="00F0151C">
        <w:rPr>
          <w:rFonts w:ascii="Arial" w:hAnsi="Arial" w:cs="Arial"/>
          <w:color w:val="auto"/>
          <w:spacing w:val="-2"/>
          <w:sz w:val="22"/>
          <w:szCs w:val="22"/>
          <w:lang w:val="pl-PL"/>
        </w:rPr>
        <w:t xml:space="preserve">wykonanie operatu dendrologicznego z analizą uniknięcia kolizji planowanej inwestycji z drzewostanem (przy użyciu profesjonalnych sprzętów np. tomografu sonicznego, </w:t>
      </w:r>
      <w:proofErr w:type="spellStart"/>
      <w:r w:rsidRPr="00F0151C">
        <w:rPr>
          <w:rFonts w:ascii="Arial" w:hAnsi="Arial" w:cs="Arial"/>
          <w:color w:val="auto"/>
          <w:spacing w:val="-2"/>
          <w:sz w:val="22"/>
          <w:szCs w:val="22"/>
          <w:lang w:val="pl-PL"/>
        </w:rPr>
        <w:t>rezystografu</w:t>
      </w:r>
      <w:proofErr w:type="spellEnd"/>
      <w:r w:rsidRPr="00F0151C">
        <w:rPr>
          <w:rFonts w:ascii="Arial" w:hAnsi="Arial" w:cs="Arial"/>
          <w:color w:val="auto"/>
          <w:spacing w:val="-2"/>
          <w:sz w:val="22"/>
          <w:szCs w:val="22"/>
          <w:lang w:val="pl-PL"/>
        </w:rPr>
        <w:t xml:space="preserve"> (w ilości 6 szt.),</w:t>
      </w:r>
    </w:p>
    <w:p w14:paraId="690E7E0F" w14:textId="77777777" w:rsidR="0005150B" w:rsidRPr="00F0151C" w:rsidRDefault="0005150B" w:rsidP="004F74DE">
      <w:pPr>
        <w:pStyle w:val="Akapitzlist"/>
        <w:numPr>
          <w:ilvl w:val="0"/>
          <w:numId w:val="53"/>
        </w:numPr>
        <w:tabs>
          <w:tab w:val="left" w:pos="-8505"/>
          <w:tab w:val="left" w:pos="-2127"/>
        </w:tabs>
        <w:overflowPunct/>
        <w:ind w:left="462" w:hanging="462"/>
        <w:rPr>
          <w:rFonts w:ascii="Arial" w:hAnsi="Arial" w:cs="Arial"/>
          <w:color w:val="auto"/>
          <w:spacing w:val="-2"/>
          <w:sz w:val="22"/>
          <w:szCs w:val="22"/>
          <w:lang w:val="pl-PL"/>
        </w:rPr>
      </w:pPr>
      <w:r w:rsidRPr="00F0151C">
        <w:rPr>
          <w:rFonts w:ascii="Arial" w:hAnsi="Arial" w:cs="Arial"/>
          <w:color w:val="auto"/>
          <w:spacing w:val="-2"/>
          <w:sz w:val="22"/>
          <w:szCs w:val="22"/>
          <w:lang w:val="pl-PL"/>
        </w:rPr>
        <w:t>wykonanie inwentaryzacji dendrologicznej drzew, składającej się z części opisowej, tabelarycznej i graficznej (w ilości 1420 szt.).</w:t>
      </w:r>
    </w:p>
    <w:p w14:paraId="6C06F6BD" w14:textId="53F2CF8C" w:rsidR="0005150B" w:rsidRPr="00F0151C" w:rsidRDefault="0005150B" w:rsidP="004F74DE">
      <w:pPr>
        <w:widowControl w:val="0"/>
        <w:tabs>
          <w:tab w:val="left" w:pos="-8505"/>
          <w:tab w:val="left" w:pos="-2127"/>
        </w:tabs>
        <w:suppressAutoHyphens/>
        <w:overflowPunct/>
        <w:spacing w:after="0" w:line="360" w:lineRule="auto"/>
        <w:contextualSpacing/>
        <w:jc w:val="both"/>
        <w:textAlignment w:val="baseline"/>
        <w:rPr>
          <w:rFonts w:ascii="Arial" w:eastAsia="Andale Sans UI" w:hAnsi="Arial" w:cs="Arial"/>
          <w:b/>
          <w:bCs/>
          <w:color w:val="auto"/>
          <w:spacing w:val="-2"/>
          <w:lang w:eastAsia="ja-JP" w:bidi="fa-IR"/>
        </w:rPr>
      </w:pPr>
      <w:r w:rsidRPr="00F0151C">
        <w:rPr>
          <w:rFonts w:ascii="Arial" w:eastAsia="Andale Sans UI" w:hAnsi="Arial" w:cs="Arial"/>
          <w:color w:val="auto"/>
          <w:spacing w:val="-2"/>
          <w:lang w:eastAsia="ja-JP" w:bidi="fa-IR"/>
        </w:rPr>
        <w:t xml:space="preserve">Wartość szacunkową zamówienia obliczono 9.12.2021 r., zgodnie z udzieloną informacją, na podstawie zeszłorocznych umów z uwzględnieniem procentowego wskaźnika wzrostu cen.   Zgodnie z notatką wartość szacunkowa wynosiła 56 510 zł netto (69 507,30 zł brutto) i taką kwotę zabezpieczono w planie finansowym. Zastosowany procentowy wzrost cen wynosił </w:t>
      </w:r>
      <w:r w:rsidRPr="00F0151C">
        <w:rPr>
          <w:rFonts w:ascii="Arial" w:eastAsia="Andale Sans UI" w:hAnsi="Arial" w:cs="Arial"/>
          <w:b/>
          <w:bCs/>
          <w:color w:val="auto"/>
          <w:spacing w:val="-2"/>
          <w:lang w:eastAsia="ja-JP" w:bidi="fa-IR"/>
        </w:rPr>
        <w:t>odpowiednio w zadaniu nr 1 i 4 – 5%, zadaniu nr 2 i 3 – 3,5%, tym samym nie odpowiadał on prognozowanemu średniorocznemu wskaźnikowi cen towarów i usług konsumpcyjnych ogółem, do czego obligowały zapisy regulaminu. Zgodnie z § 17 ustawy budżetowej na rok 2022 r. prognozowany średnioroczny wskaźnik cen towarów i usług konsumpcyjnych ogółem wynosił 3,3%.</w:t>
      </w:r>
    </w:p>
    <w:p w14:paraId="6234A313" w14:textId="0143467C" w:rsidR="0005150B" w:rsidRPr="00F0151C" w:rsidRDefault="0005150B" w:rsidP="0005150B">
      <w:pPr>
        <w:widowControl w:val="0"/>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Ze względu na wartość zamówienia zastosowano tryb określony w ramowej instrukcji zamówień publicznych. Zaproszenie do składania ofert zamieszczono na stronie MZBM 27.01.2022 r., a termin składania ofert wyznaczono na 2.02.2022 r. W odpowiedzi na ogłoszenie złożono 5 ofert na kwoty brutto: </w:t>
      </w:r>
    </w:p>
    <w:p w14:paraId="1860F7D5" w14:textId="77777777" w:rsidR="0005150B" w:rsidRPr="00F0151C" w:rsidRDefault="0005150B" w:rsidP="0005150B">
      <w:pPr>
        <w:pStyle w:val="Akapitzlist"/>
        <w:numPr>
          <w:ilvl w:val="0"/>
          <w:numId w:val="62"/>
        </w:numPr>
        <w:tabs>
          <w:tab w:val="left" w:pos="-8505"/>
          <w:tab w:val="left" w:pos="-2127"/>
        </w:tabs>
        <w:overflowPunct/>
        <w:rPr>
          <w:rFonts w:ascii="Arial" w:eastAsia="Segoe UI" w:hAnsi="Arial" w:cs="Arial"/>
          <w:color w:val="auto"/>
          <w:spacing w:val="-2"/>
          <w:sz w:val="22"/>
          <w:szCs w:val="22"/>
          <w:lang w:val="pl-PL" w:eastAsia="pl-PL" w:bidi="ar-SA"/>
        </w:rPr>
      </w:pPr>
      <w:r w:rsidRPr="00F0151C">
        <w:rPr>
          <w:rFonts w:ascii="Arial" w:hAnsi="Arial" w:cs="Arial"/>
          <w:color w:val="auto"/>
          <w:spacing w:val="-2"/>
          <w:sz w:val="22"/>
          <w:szCs w:val="22"/>
          <w:lang w:val="pl-PL"/>
        </w:rPr>
        <w:t xml:space="preserve">oferta nr 1 – 121 770,00 zł, </w:t>
      </w:r>
    </w:p>
    <w:p w14:paraId="5B105761" w14:textId="77777777" w:rsidR="0005150B" w:rsidRPr="00F0151C" w:rsidRDefault="0005150B" w:rsidP="0005150B">
      <w:pPr>
        <w:pStyle w:val="Akapitzlist"/>
        <w:numPr>
          <w:ilvl w:val="0"/>
          <w:numId w:val="62"/>
        </w:numPr>
        <w:tabs>
          <w:tab w:val="left" w:pos="-8505"/>
          <w:tab w:val="left" w:pos="-2127"/>
        </w:tabs>
        <w:overflowPunct/>
        <w:rPr>
          <w:rFonts w:ascii="Arial" w:eastAsia="Segoe UI" w:hAnsi="Arial" w:cs="Arial"/>
          <w:color w:val="auto"/>
          <w:spacing w:val="-2"/>
          <w:sz w:val="22"/>
          <w:szCs w:val="22"/>
          <w:lang w:val="pl-PL" w:eastAsia="pl-PL" w:bidi="ar-SA"/>
        </w:rPr>
      </w:pPr>
      <w:r w:rsidRPr="00F0151C">
        <w:rPr>
          <w:rFonts w:ascii="Arial" w:hAnsi="Arial" w:cs="Arial"/>
          <w:color w:val="auto"/>
          <w:spacing w:val="-2"/>
          <w:sz w:val="22"/>
          <w:szCs w:val="22"/>
          <w:lang w:val="pl-PL"/>
        </w:rPr>
        <w:t xml:space="preserve">oferta nr 2 – 157 722,90 zł, </w:t>
      </w:r>
    </w:p>
    <w:p w14:paraId="1CF51C80" w14:textId="77777777" w:rsidR="0005150B" w:rsidRPr="00F0151C" w:rsidRDefault="0005150B" w:rsidP="0005150B">
      <w:pPr>
        <w:pStyle w:val="Akapitzlist"/>
        <w:numPr>
          <w:ilvl w:val="0"/>
          <w:numId w:val="62"/>
        </w:numPr>
        <w:tabs>
          <w:tab w:val="left" w:pos="-8505"/>
          <w:tab w:val="left" w:pos="-2127"/>
        </w:tabs>
        <w:overflowPunct/>
        <w:rPr>
          <w:rFonts w:ascii="Arial" w:eastAsia="Segoe UI" w:hAnsi="Arial" w:cs="Arial"/>
          <w:color w:val="auto"/>
          <w:spacing w:val="-2"/>
          <w:sz w:val="22"/>
          <w:szCs w:val="22"/>
          <w:lang w:val="pl-PL" w:eastAsia="pl-PL" w:bidi="ar-SA"/>
        </w:rPr>
      </w:pPr>
      <w:r w:rsidRPr="00F0151C">
        <w:rPr>
          <w:rFonts w:ascii="Arial" w:hAnsi="Arial" w:cs="Arial"/>
          <w:color w:val="auto"/>
          <w:spacing w:val="-2"/>
          <w:sz w:val="22"/>
          <w:szCs w:val="22"/>
          <w:lang w:val="pl-PL"/>
        </w:rPr>
        <w:t xml:space="preserve">oferta nr 3 – 775 392,00 zł, </w:t>
      </w:r>
    </w:p>
    <w:p w14:paraId="0253226F" w14:textId="77777777" w:rsidR="0005150B" w:rsidRPr="00F0151C" w:rsidRDefault="0005150B" w:rsidP="0005150B">
      <w:pPr>
        <w:pStyle w:val="Akapitzlist"/>
        <w:numPr>
          <w:ilvl w:val="0"/>
          <w:numId w:val="62"/>
        </w:numPr>
        <w:tabs>
          <w:tab w:val="left" w:pos="-8505"/>
          <w:tab w:val="left" w:pos="-2127"/>
        </w:tabs>
        <w:overflowPunct/>
        <w:rPr>
          <w:rFonts w:ascii="Arial" w:eastAsia="Segoe UI" w:hAnsi="Arial" w:cs="Arial"/>
          <w:color w:val="auto"/>
          <w:spacing w:val="-2"/>
          <w:sz w:val="22"/>
          <w:szCs w:val="22"/>
          <w:lang w:val="pl-PL" w:eastAsia="pl-PL" w:bidi="ar-SA"/>
        </w:rPr>
      </w:pPr>
      <w:r w:rsidRPr="00F0151C">
        <w:rPr>
          <w:rFonts w:ascii="Arial" w:hAnsi="Arial" w:cs="Arial"/>
          <w:color w:val="auto"/>
          <w:spacing w:val="-2"/>
          <w:sz w:val="22"/>
          <w:szCs w:val="22"/>
          <w:lang w:val="pl-PL"/>
        </w:rPr>
        <w:t xml:space="preserve">oferta nr 4 –   56 240,00 zł </w:t>
      </w:r>
    </w:p>
    <w:p w14:paraId="4A5CBE30" w14:textId="77777777" w:rsidR="0005150B" w:rsidRPr="00F0151C" w:rsidRDefault="0005150B" w:rsidP="0005150B">
      <w:pPr>
        <w:pStyle w:val="Akapitzlist"/>
        <w:numPr>
          <w:ilvl w:val="0"/>
          <w:numId w:val="62"/>
        </w:numPr>
        <w:tabs>
          <w:tab w:val="left" w:pos="-8505"/>
          <w:tab w:val="left" w:pos="-2127"/>
        </w:tabs>
        <w:overflowPunct/>
        <w:rPr>
          <w:rFonts w:ascii="Arial" w:eastAsia="Segoe UI" w:hAnsi="Arial" w:cs="Arial"/>
          <w:color w:val="auto"/>
          <w:spacing w:val="-2"/>
          <w:sz w:val="22"/>
          <w:szCs w:val="22"/>
          <w:lang w:val="pl-PL" w:eastAsia="pl-PL" w:bidi="ar-SA"/>
        </w:rPr>
      </w:pPr>
      <w:r w:rsidRPr="00F0151C">
        <w:rPr>
          <w:rFonts w:ascii="Arial" w:hAnsi="Arial" w:cs="Arial"/>
          <w:color w:val="auto"/>
          <w:spacing w:val="-2"/>
          <w:sz w:val="22"/>
          <w:szCs w:val="22"/>
          <w:lang w:val="pl-PL"/>
        </w:rPr>
        <w:t xml:space="preserve">oferta nr 5 – 180 711,60 zł. </w:t>
      </w:r>
    </w:p>
    <w:p w14:paraId="62F90451" w14:textId="77777777" w:rsidR="0005150B" w:rsidRPr="00F0151C" w:rsidRDefault="0005150B" w:rsidP="0005150B">
      <w:pPr>
        <w:tabs>
          <w:tab w:val="left" w:pos="-8505"/>
          <w:tab w:val="left" w:pos="-2127"/>
        </w:tabs>
        <w:overflowPunct/>
        <w:spacing w:after="0" w:line="360" w:lineRule="auto"/>
        <w:jc w:val="both"/>
        <w:rPr>
          <w:rFonts w:ascii="Arial" w:hAnsi="Arial" w:cs="Arial"/>
          <w:color w:val="auto"/>
          <w:spacing w:val="-2"/>
        </w:rPr>
      </w:pPr>
      <w:r w:rsidRPr="00F0151C">
        <w:rPr>
          <w:rFonts w:ascii="Arial" w:hAnsi="Arial" w:cs="Arial"/>
          <w:color w:val="auto"/>
          <w:spacing w:val="-2"/>
        </w:rPr>
        <w:t xml:space="preserve">Weryfikacja złożonych ofert wykazała, że oferta nr 2 oparta została o nieprawidłowe ilości usług oraz nie zawierała wyceny zadania nr 4. Ponadto nie zawierała wymaganych w ofercie wykazu usług, tj. doświadczenie w zakresie wykonania minimum 10 ocen dendrologicznych drzew. Zgodnie z udzieloną informacją w trakcie kontroli, w związku z brakiem wyceny zadania nr 4 nie było możliwości prawidłowego przeliczenia oferty i dokonania poprawki w zakresie omyłek, a oferta tym samym podlegała odrzuceniu. Jednak w dokumentacji i protokole z 9.02.2022 r. </w:t>
      </w:r>
      <w:r w:rsidRPr="00F0151C">
        <w:rPr>
          <w:rFonts w:ascii="Arial" w:hAnsi="Arial" w:cs="Arial"/>
          <w:color w:val="auto"/>
          <w:spacing w:val="-2"/>
        </w:rPr>
        <w:lastRenderedPageBreak/>
        <w:t>nie zawarto informacji o odrzuceniu oferty. Powyższe nie miało wpływu na wybór wykonawcy z najkorzystniejszą ceną (oferta nr 4).</w:t>
      </w:r>
    </w:p>
    <w:p w14:paraId="06276FD8" w14:textId="77777777" w:rsidR="0005150B" w:rsidRPr="00F0151C" w:rsidRDefault="0005150B" w:rsidP="0005150B">
      <w:pPr>
        <w:tabs>
          <w:tab w:val="left" w:pos="-8505"/>
          <w:tab w:val="left" w:pos="-2127"/>
        </w:tabs>
        <w:overflowPunct/>
        <w:spacing w:after="0" w:line="360" w:lineRule="auto"/>
        <w:jc w:val="both"/>
        <w:rPr>
          <w:rFonts w:ascii="Arial" w:hAnsi="Arial" w:cs="Arial"/>
          <w:color w:val="auto"/>
          <w:spacing w:val="-2"/>
        </w:rPr>
      </w:pPr>
      <w:r w:rsidRPr="00F0151C">
        <w:rPr>
          <w:rFonts w:ascii="Arial" w:hAnsi="Arial" w:cs="Arial"/>
          <w:color w:val="auto"/>
          <w:spacing w:val="-2"/>
        </w:rPr>
        <w:t>Postępowanie zakończono zawarciem umowy w dniu 21.02.2022 r. Zgodnie z kartoteką konta kontrahenta (201-200-00518) łączna wartość usługi wyniosła 15 308 zł. Przeprowadzona weryfikacja nie wykazała nieprawidłowości.</w:t>
      </w:r>
    </w:p>
    <w:p w14:paraId="7A1DB23A" w14:textId="77777777" w:rsidR="00AB770F" w:rsidRPr="00F0151C" w:rsidRDefault="00AB770F" w:rsidP="00AB770F">
      <w:pPr>
        <w:widowControl w:val="0"/>
        <w:tabs>
          <w:tab w:val="left" w:pos="-8505"/>
          <w:tab w:val="left" w:pos="-2127"/>
        </w:tabs>
        <w:suppressAutoHyphens/>
        <w:overflowPunct/>
        <w:spacing w:after="0" w:line="360" w:lineRule="auto"/>
        <w:ind w:firstLine="426"/>
        <w:contextualSpacing/>
        <w:jc w:val="both"/>
        <w:textAlignment w:val="baseline"/>
        <w:rPr>
          <w:rFonts w:ascii="Arial" w:eastAsia="Andale Sans UI" w:hAnsi="Arial" w:cs="Arial"/>
          <w:color w:val="auto"/>
          <w:spacing w:val="-2"/>
          <w:lang w:eastAsia="ja-JP" w:bidi="fa-IR"/>
        </w:rPr>
      </w:pPr>
    </w:p>
    <w:p w14:paraId="7A07C2BB" w14:textId="47648124" w:rsidR="00AB770F" w:rsidRPr="00F0151C" w:rsidRDefault="00346E67" w:rsidP="00AB770F">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Podkreślić należy, że w obowiązującym w zakładzie regulaminie dla zamówień o wartości szacunkowej poniżej 130 000 zł netto dopuszcza się możliwość składania ofert w formie elektronicznej na adres mailowy wskazany w zaproszeniu. W żadnym z poddanych kontroli postepowań nie wymagano, aby oferty elektroniczne były opatrzone hasłem uniemożliwiającym ich otwarcie przed termin</w:t>
      </w:r>
      <w:r w:rsidR="005E39EA" w:rsidRPr="00F0151C">
        <w:rPr>
          <w:rFonts w:ascii="Arial" w:eastAsia="Andale Sans UI" w:hAnsi="Arial" w:cs="Arial"/>
          <w:color w:val="auto"/>
          <w:spacing w:val="-2"/>
          <w:lang w:eastAsia="ja-JP" w:bidi="fa-IR"/>
        </w:rPr>
        <w:t>em</w:t>
      </w:r>
      <w:r w:rsidRPr="00F0151C">
        <w:rPr>
          <w:rFonts w:ascii="Arial" w:eastAsia="Andale Sans UI" w:hAnsi="Arial" w:cs="Arial"/>
          <w:color w:val="auto"/>
          <w:spacing w:val="-2"/>
          <w:lang w:eastAsia="ja-JP" w:bidi="fa-IR"/>
        </w:rPr>
        <w:t xml:space="preserve"> wskazanym w zaproszeniu. W ocenie kontrolujących, wymóg zabezpieczania ofert elektronicznych hasłem jest właściwą praktyką i</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narzędziem wspomagającym  dla właściwej realizacji zasady uczciwej konkurencji, do przestrzeganie której obliguje </w:t>
      </w:r>
      <w:proofErr w:type="spellStart"/>
      <w:r w:rsidRPr="00F0151C">
        <w:rPr>
          <w:rFonts w:ascii="Arial" w:eastAsia="Andale Sans UI" w:hAnsi="Arial" w:cs="Arial"/>
          <w:color w:val="auto"/>
          <w:spacing w:val="-2"/>
          <w:lang w:eastAsia="ja-JP" w:bidi="fa-IR"/>
        </w:rPr>
        <w:t>pzp</w:t>
      </w:r>
      <w:proofErr w:type="spellEnd"/>
      <w:r w:rsidRPr="00F0151C">
        <w:rPr>
          <w:rFonts w:ascii="Arial" w:eastAsia="Andale Sans UI" w:hAnsi="Arial" w:cs="Arial"/>
          <w:color w:val="auto"/>
          <w:spacing w:val="-2"/>
          <w:lang w:eastAsia="ja-JP" w:bidi="fa-IR"/>
        </w:rPr>
        <w:t xml:space="preserve">. </w:t>
      </w:r>
    </w:p>
    <w:p w14:paraId="72810D39" w14:textId="77777777" w:rsidR="00AB770F" w:rsidRPr="00F0151C" w:rsidRDefault="00AB770F" w:rsidP="0061643B">
      <w:pPr>
        <w:tabs>
          <w:tab w:val="left" w:pos="-8505"/>
          <w:tab w:val="left" w:pos="-2127"/>
        </w:tabs>
        <w:rPr>
          <w:rFonts w:ascii="Arial" w:hAnsi="Arial" w:cs="Arial"/>
          <w:color w:val="auto"/>
          <w:spacing w:val="-2"/>
        </w:rPr>
      </w:pPr>
    </w:p>
    <w:p w14:paraId="63E110D5" w14:textId="46560432" w:rsidR="003B05C2" w:rsidRPr="00F0151C" w:rsidRDefault="003B05C2" w:rsidP="00285E7D">
      <w:pPr>
        <w:pStyle w:val="Akapitzlist1"/>
        <w:numPr>
          <w:ilvl w:val="1"/>
          <w:numId w:val="27"/>
        </w:numPr>
        <w:ind w:left="490" w:hanging="490"/>
        <w:rPr>
          <w:rFonts w:ascii="Arial" w:hAnsi="Arial" w:cs="Arial"/>
          <w:color w:val="auto"/>
          <w:sz w:val="22"/>
          <w:szCs w:val="22"/>
          <w:lang w:val="pl-PL"/>
        </w:rPr>
      </w:pPr>
      <w:r w:rsidRPr="00F0151C">
        <w:rPr>
          <w:rFonts w:ascii="Arial" w:hAnsi="Arial" w:cs="Arial"/>
          <w:b/>
          <w:color w:val="auto"/>
          <w:sz w:val="22"/>
          <w:szCs w:val="22"/>
          <w:lang w:val="pl-PL"/>
        </w:rPr>
        <w:t>Procedura windykacji należności</w:t>
      </w:r>
      <w:r w:rsidR="009A0D80" w:rsidRPr="00F0151C">
        <w:rPr>
          <w:rFonts w:ascii="Arial" w:hAnsi="Arial" w:cs="Arial"/>
          <w:b/>
          <w:color w:val="auto"/>
          <w:sz w:val="22"/>
          <w:szCs w:val="22"/>
          <w:lang w:val="pl-PL"/>
        </w:rPr>
        <w:t xml:space="preserve"> i ulgi w spłacie należności.</w:t>
      </w:r>
    </w:p>
    <w:p w14:paraId="32CA8B1A" w14:textId="2E2C1FE8" w:rsidR="00C84C9C" w:rsidRPr="00F0151C" w:rsidRDefault="00384BC5" w:rsidP="00C84C9C">
      <w:pPr>
        <w:widowControl w:val="0"/>
        <w:tabs>
          <w:tab w:val="left" w:pos="-8505"/>
          <w:tab w:val="left" w:pos="-2127"/>
        </w:tabs>
        <w:suppressAutoHyphens/>
        <w:spacing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ab/>
      </w:r>
      <w:r w:rsidR="00C84C9C" w:rsidRPr="00F0151C">
        <w:rPr>
          <w:rFonts w:ascii="Arial" w:eastAsia="Andale Sans UI" w:hAnsi="Arial" w:cs="Arial"/>
          <w:color w:val="auto"/>
          <w:spacing w:val="-2"/>
          <w:lang w:eastAsia="ja-JP" w:bidi="fa-IR"/>
        </w:rPr>
        <w:t>Zgodnie z zestawieniami przedłożonymi do kontroli zadłużenie na lokalach na dzień 31.07.2023 r. kształtowało się następująco:</w:t>
      </w:r>
    </w:p>
    <w:tbl>
      <w:tblPr>
        <w:tblStyle w:val="Tabela-Siatka6"/>
        <w:tblW w:w="9067" w:type="dxa"/>
        <w:tblLook w:val="04A0" w:firstRow="1" w:lastRow="0" w:firstColumn="1" w:lastColumn="0" w:noHBand="0" w:noVBand="1"/>
      </w:tblPr>
      <w:tblGrid>
        <w:gridCol w:w="1060"/>
        <w:gridCol w:w="1705"/>
        <w:gridCol w:w="1602"/>
        <w:gridCol w:w="1815"/>
        <w:gridCol w:w="1326"/>
        <w:gridCol w:w="1559"/>
      </w:tblGrid>
      <w:tr w:rsidR="00F0151C" w:rsidRPr="00F0151C" w14:paraId="523871B9" w14:textId="77777777" w:rsidTr="00AB770F">
        <w:trPr>
          <w:trHeight w:val="284"/>
        </w:trPr>
        <w:tc>
          <w:tcPr>
            <w:tcW w:w="2765" w:type="dxa"/>
            <w:gridSpan w:val="2"/>
            <w:vMerge w:val="restart"/>
            <w:shd w:val="clear" w:color="auto" w:fill="D9D9D9"/>
          </w:tcPr>
          <w:p w14:paraId="1F472124" w14:textId="77777777" w:rsidR="00C84C9C" w:rsidRPr="00F0151C" w:rsidRDefault="00C84C9C" w:rsidP="00AB770F">
            <w:pPr>
              <w:widowControl w:val="0"/>
              <w:tabs>
                <w:tab w:val="left" w:pos="-8505"/>
                <w:tab w:val="left" w:pos="-2127"/>
              </w:tabs>
              <w:suppressAutoHyphens/>
              <w:contextualSpacing/>
              <w:jc w:val="center"/>
              <w:textAlignment w:val="baseline"/>
              <w:rPr>
                <w:rFonts w:ascii="Arial" w:eastAsia="Andale Sans UI" w:hAnsi="Arial" w:cs="Arial"/>
                <w:color w:val="auto"/>
                <w:spacing w:val="-2"/>
                <w:sz w:val="16"/>
                <w:szCs w:val="16"/>
                <w:lang w:eastAsia="ja-JP" w:bidi="fa-IR"/>
              </w:rPr>
            </w:pPr>
          </w:p>
        </w:tc>
        <w:tc>
          <w:tcPr>
            <w:tcW w:w="6302" w:type="dxa"/>
            <w:gridSpan w:val="4"/>
            <w:shd w:val="clear" w:color="auto" w:fill="D9D9D9"/>
          </w:tcPr>
          <w:p w14:paraId="06CF1A81" w14:textId="77777777" w:rsidR="00C84C9C" w:rsidRPr="00F0151C" w:rsidRDefault="00C84C9C" w:rsidP="00AB770F">
            <w:pPr>
              <w:widowControl w:val="0"/>
              <w:tabs>
                <w:tab w:val="left" w:pos="-8505"/>
                <w:tab w:val="left" w:pos="-2127"/>
              </w:tabs>
              <w:suppressAutoHyphens/>
              <w:contextualSpacing/>
              <w:jc w:val="center"/>
              <w:textAlignment w:val="baseline"/>
              <w:rPr>
                <w:rFonts w:ascii="Arial" w:eastAsia="Andale Sans UI" w:hAnsi="Arial" w:cs="Arial"/>
                <w:b/>
                <w:bCs/>
                <w:color w:val="auto"/>
                <w:spacing w:val="-2"/>
                <w:sz w:val="16"/>
                <w:szCs w:val="16"/>
                <w:lang w:eastAsia="ja-JP" w:bidi="fa-IR"/>
              </w:rPr>
            </w:pPr>
            <w:r w:rsidRPr="00F0151C">
              <w:rPr>
                <w:rFonts w:ascii="Arial" w:eastAsia="Andale Sans UI" w:hAnsi="Arial" w:cs="Arial"/>
                <w:b/>
                <w:bCs/>
                <w:color w:val="auto"/>
                <w:spacing w:val="-2"/>
                <w:sz w:val="16"/>
                <w:szCs w:val="16"/>
                <w:lang w:eastAsia="ja-JP" w:bidi="fa-IR"/>
              </w:rPr>
              <w:t>Zadłużenie na 31.07.2023 r.</w:t>
            </w:r>
          </w:p>
        </w:tc>
      </w:tr>
      <w:tr w:rsidR="00F0151C" w:rsidRPr="00F0151C" w14:paraId="2F9E58FB" w14:textId="77777777" w:rsidTr="00AB770F">
        <w:trPr>
          <w:trHeight w:val="284"/>
        </w:trPr>
        <w:tc>
          <w:tcPr>
            <w:tcW w:w="2765" w:type="dxa"/>
            <w:gridSpan w:val="2"/>
            <w:vMerge/>
            <w:shd w:val="clear" w:color="auto" w:fill="D9D9D9"/>
          </w:tcPr>
          <w:p w14:paraId="5A6F9C26"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p>
        </w:tc>
        <w:tc>
          <w:tcPr>
            <w:tcW w:w="1602" w:type="dxa"/>
            <w:shd w:val="clear" w:color="auto" w:fill="D9D9D9"/>
            <w:vAlign w:val="center"/>
          </w:tcPr>
          <w:p w14:paraId="06C644C3" w14:textId="77777777" w:rsidR="00C84C9C" w:rsidRPr="00F0151C" w:rsidRDefault="00C84C9C" w:rsidP="00AB770F">
            <w:pPr>
              <w:widowControl w:val="0"/>
              <w:tabs>
                <w:tab w:val="left" w:pos="-8505"/>
                <w:tab w:val="left" w:pos="-2127"/>
              </w:tabs>
              <w:suppressAutoHyphens/>
              <w:contextualSpacing/>
              <w:jc w:val="center"/>
              <w:textAlignment w:val="baseline"/>
              <w:rPr>
                <w:rFonts w:ascii="Arial" w:eastAsia="Andale Sans UI" w:hAnsi="Arial" w:cs="Arial"/>
                <w:b/>
                <w:bCs/>
                <w:color w:val="auto"/>
                <w:spacing w:val="-2"/>
                <w:sz w:val="16"/>
                <w:szCs w:val="16"/>
                <w:lang w:eastAsia="ja-JP" w:bidi="fa-IR"/>
              </w:rPr>
            </w:pPr>
            <w:r w:rsidRPr="00F0151C">
              <w:rPr>
                <w:rFonts w:ascii="Arial" w:eastAsia="Andale Sans UI" w:hAnsi="Arial" w:cs="Arial"/>
                <w:b/>
                <w:bCs/>
                <w:color w:val="auto"/>
                <w:spacing w:val="-2"/>
                <w:sz w:val="16"/>
                <w:szCs w:val="16"/>
                <w:lang w:eastAsia="ja-JP" w:bidi="fa-IR"/>
              </w:rPr>
              <w:t>NALEŻNOŚCI</w:t>
            </w:r>
          </w:p>
        </w:tc>
        <w:tc>
          <w:tcPr>
            <w:tcW w:w="1815" w:type="dxa"/>
            <w:shd w:val="clear" w:color="auto" w:fill="D9D9D9"/>
            <w:vAlign w:val="center"/>
          </w:tcPr>
          <w:p w14:paraId="7F488FFA" w14:textId="77777777" w:rsidR="00C84C9C" w:rsidRPr="00F0151C" w:rsidRDefault="00C84C9C" w:rsidP="00AB770F">
            <w:pPr>
              <w:widowControl w:val="0"/>
              <w:tabs>
                <w:tab w:val="left" w:pos="-8505"/>
                <w:tab w:val="left" w:pos="-2127"/>
              </w:tabs>
              <w:suppressAutoHyphens/>
              <w:contextualSpacing/>
              <w:jc w:val="center"/>
              <w:textAlignment w:val="baseline"/>
              <w:rPr>
                <w:rFonts w:ascii="Arial" w:eastAsia="Andale Sans UI" w:hAnsi="Arial" w:cs="Arial"/>
                <w:b/>
                <w:bCs/>
                <w:color w:val="auto"/>
                <w:spacing w:val="-2"/>
                <w:sz w:val="16"/>
                <w:szCs w:val="16"/>
                <w:lang w:eastAsia="ja-JP" w:bidi="fa-IR"/>
              </w:rPr>
            </w:pPr>
            <w:r w:rsidRPr="00F0151C">
              <w:rPr>
                <w:rFonts w:ascii="Arial" w:eastAsia="Andale Sans UI" w:hAnsi="Arial" w:cs="Arial"/>
                <w:b/>
                <w:bCs/>
                <w:color w:val="auto"/>
                <w:spacing w:val="-2"/>
                <w:sz w:val="16"/>
                <w:szCs w:val="16"/>
                <w:lang w:eastAsia="ja-JP" w:bidi="fa-IR"/>
              </w:rPr>
              <w:t>NALEŻNOŚCI W NAKAZACH</w:t>
            </w:r>
          </w:p>
        </w:tc>
        <w:tc>
          <w:tcPr>
            <w:tcW w:w="1326" w:type="dxa"/>
            <w:shd w:val="clear" w:color="auto" w:fill="D9D9D9"/>
            <w:vAlign w:val="center"/>
          </w:tcPr>
          <w:p w14:paraId="1DC8714B" w14:textId="77777777" w:rsidR="00C84C9C" w:rsidRPr="00F0151C" w:rsidRDefault="00C84C9C" w:rsidP="00AB770F">
            <w:pPr>
              <w:widowControl w:val="0"/>
              <w:tabs>
                <w:tab w:val="left" w:pos="-8505"/>
                <w:tab w:val="left" w:pos="-2127"/>
              </w:tabs>
              <w:suppressAutoHyphens/>
              <w:contextualSpacing/>
              <w:jc w:val="center"/>
              <w:textAlignment w:val="baseline"/>
              <w:rPr>
                <w:rFonts w:ascii="Arial" w:eastAsia="Andale Sans UI" w:hAnsi="Arial" w:cs="Arial"/>
                <w:b/>
                <w:bCs/>
                <w:color w:val="auto"/>
                <w:spacing w:val="-2"/>
                <w:sz w:val="16"/>
                <w:szCs w:val="16"/>
                <w:lang w:eastAsia="ja-JP" w:bidi="fa-IR"/>
              </w:rPr>
            </w:pPr>
            <w:r w:rsidRPr="00F0151C">
              <w:rPr>
                <w:rFonts w:ascii="Arial" w:eastAsia="Andale Sans UI" w:hAnsi="Arial" w:cs="Arial"/>
                <w:b/>
                <w:bCs/>
                <w:color w:val="auto"/>
                <w:spacing w:val="-2"/>
                <w:sz w:val="16"/>
                <w:szCs w:val="16"/>
                <w:lang w:eastAsia="ja-JP" w:bidi="fa-IR"/>
              </w:rPr>
              <w:t>ODSETKI</w:t>
            </w:r>
          </w:p>
        </w:tc>
        <w:tc>
          <w:tcPr>
            <w:tcW w:w="1559" w:type="dxa"/>
            <w:shd w:val="clear" w:color="auto" w:fill="D9D9D9"/>
            <w:vAlign w:val="center"/>
          </w:tcPr>
          <w:p w14:paraId="2DAF0D4F" w14:textId="77777777" w:rsidR="00C84C9C" w:rsidRPr="00F0151C" w:rsidRDefault="00C84C9C" w:rsidP="00AB770F">
            <w:pPr>
              <w:widowControl w:val="0"/>
              <w:tabs>
                <w:tab w:val="left" w:pos="-8505"/>
                <w:tab w:val="left" w:pos="-2127"/>
              </w:tabs>
              <w:suppressAutoHyphens/>
              <w:contextualSpacing/>
              <w:jc w:val="center"/>
              <w:textAlignment w:val="baseline"/>
              <w:rPr>
                <w:rFonts w:ascii="Arial" w:eastAsia="Andale Sans UI" w:hAnsi="Arial" w:cs="Arial"/>
                <w:b/>
                <w:bCs/>
                <w:color w:val="auto"/>
                <w:spacing w:val="-2"/>
                <w:sz w:val="16"/>
                <w:szCs w:val="16"/>
                <w:lang w:eastAsia="ja-JP" w:bidi="fa-IR"/>
              </w:rPr>
            </w:pPr>
            <w:r w:rsidRPr="00F0151C">
              <w:rPr>
                <w:rFonts w:ascii="Arial" w:eastAsia="Andale Sans UI" w:hAnsi="Arial" w:cs="Arial"/>
                <w:b/>
                <w:bCs/>
                <w:color w:val="auto"/>
                <w:spacing w:val="-2"/>
                <w:sz w:val="16"/>
                <w:szCs w:val="16"/>
                <w:lang w:eastAsia="ja-JP" w:bidi="fa-IR"/>
              </w:rPr>
              <w:t>Razem:</w:t>
            </w:r>
          </w:p>
        </w:tc>
      </w:tr>
      <w:tr w:rsidR="00F0151C" w:rsidRPr="00F0151C" w14:paraId="36F823B9" w14:textId="77777777" w:rsidTr="00AB770F">
        <w:trPr>
          <w:trHeight w:val="284"/>
        </w:trPr>
        <w:tc>
          <w:tcPr>
            <w:tcW w:w="1060" w:type="dxa"/>
            <w:vMerge w:val="restart"/>
            <w:shd w:val="clear" w:color="auto" w:fill="D9D9D9"/>
          </w:tcPr>
          <w:p w14:paraId="68C86162"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ROM I</w:t>
            </w:r>
          </w:p>
        </w:tc>
        <w:tc>
          <w:tcPr>
            <w:tcW w:w="1705" w:type="dxa"/>
            <w:shd w:val="clear" w:color="auto" w:fill="D9D9D9"/>
          </w:tcPr>
          <w:p w14:paraId="6A4CE263"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mieszkalne</w:t>
            </w:r>
          </w:p>
        </w:tc>
        <w:tc>
          <w:tcPr>
            <w:tcW w:w="1602" w:type="dxa"/>
          </w:tcPr>
          <w:p w14:paraId="2295DE7C"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443 764,34</w:t>
            </w:r>
          </w:p>
        </w:tc>
        <w:tc>
          <w:tcPr>
            <w:tcW w:w="1815" w:type="dxa"/>
          </w:tcPr>
          <w:p w14:paraId="6A8511D0"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2 523 891,47</w:t>
            </w:r>
          </w:p>
        </w:tc>
        <w:tc>
          <w:tcPr>
            <w:tcW w:w="1326" w:type="dxa"/>
          </w:tcPr>
          <w:p w14:paraId="0E093F71"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70 172,39</w:t>
            </w:r>
          </w:p>
        </w:tc>
        <w:tc>
          <w:tcPr>
            <w:tcW w:w="1559" w:type="dxa"/>
          </w:tcPr>
          <w:p w14:paraId="13D39497"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3 037 828,20</w:t>
            </w:r>
          </w:p>
        </w:tc>
      </w:tr>
      <w:tr w:rsidR="00F0151C" w:rsidRPr="00F0151C" w14:paraId="44A0D36E" w14:textId="77777777" w:rsidTr="00AB770F">
        <w:trPr>
          <w:trHeight w:val="284"/>
        </w:trPr>
        <w:tc>
          <w:tcPr>
            <w:tcW w:w="1060" w:type="dxa"/>
            <w:vMerge/>
            <w:shd w:val="clear" w:color="auto" w:fill="D9D9D9"/>
          </w:tcPr>
          <w:p w14:paraId="687F32E4"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p>
        </w:tc>
        <w:tc>
          <w:tcPr>
            <w:tcW w:w="1705" w:type="dxa"/>
            <w:shd w:val="clear" w:color="auto" w:fill="D9D9D9"/>
          </w:tcPr>
          <w:p w14:paraId="72D047FD" w14:textId="77777777" w:rsidR="00C84C9C" w:rsidRPr="00F0151C" w:rsidRDefault="00C84C9C" w:rsidP="00AB770F">
            <w:pPr>
              <w:widowControl w:val="0"/>
              <w:tabs>
                <w:tab w:val="left" w:pos="-8505"/>
                <w:tab w:val="left" w:pos="-2127"/>
              </w:tabs>
              <w:suppressAutoHyphens/>
              <w:contextualSpacing/>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 użytkowe</w:t>
            </w:r>
          </w:p>
        </w:tc>
        <w:tc>
          <w:tcPr>
            <w:tcW w:w="1602" w:type="dxa"/>
          </w:tcPr>
          <w:p w14:paraId="3B66BC15"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13 566,91</w:t>
            </w:r>
          </w:p>
        </w:tc>
        <w:tc>
          <w:tcPr>
            <w:tcW w:w="1815" w:type="dxa"/>
          </w:tcPr>
          <w:p w14:paraId="6F4A3F2D"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1 471,55</w:t>
            </w:r>
          </w:p>
        </w:tc>
        <w:tc>
          <w:tcPr>
            <w:tcW w:w="1326" w:type="dxa"/>
          </w:tcPr>
          <w:p w14:paraId="0E66A17A"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66,45</w:t>
            </w:r>
          </w:p>
        </w:tc>
        <w:tc>
          <w:tcPr>
            <w:tcW w:w="1559" w:type="dxa"/>
          </w:tcPr>
          <w:p w14:paraId="124D902D"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15 104,91</w:t>
            </w:r>
          </w:p>
        </w:tc>
      </w:tr>
      <w:tr w:rsidR="00F0151C" w:rsidRPr="00F0151C" w14:paraId="0F60C16E" w14:textId="77777777" w:rsidTr="00AB770F">
        <w:trPr>
          <w:trHeight w:val="284"/>
        </w:trPr>
        <w:tc>
          <w:tcPr>
            <w:tcW w:w="1060" w:type="dxa"/>
            <w:vMerge w:val="restart"/>
            <w:shd w:val="clear" w:color="auto" w:fill="D9D9D9"/>
          </w:tcPr>
          <w:p w14:paraId="68DC0EEE"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ROM II</w:t>
            </w:r>
          </w:p>
        </w:tc>
        <w:tc>
          <w:tcPr>
            <w:tcW w:w="1705" w:type="dxa"/>
            <w:shd w:val="clear" w:color="auto" w:fill="D9D9D9"/>
          </w:tcPr>
          <w:p w14:paraId="5D35B6D9"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mieszkalne</w:t>
            </w:r>
          </w:p>
        </w:tc>
        <w:tc>
          <w:tcPr>
            <w:tcW w:w="1602" w:type="dxa"/>
          </w:tcPr>
          <w:p w14:paraId="70B47C5E"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191 623,94</w:t>
            </w:r>
          </w:p>
        </w:tc>
        <w:tc>
          <w:tcPr>
            <w:tcW w:w="1815" w:type="dxa"/>
          </w:tcPr>
          <w:p w14:paraId="571424AC"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1 933 016,63</w:t>
            </w:r>
          </w:p>
        </w:tc>
        <w:tc>
          <w:tcPr>
            <w:tcW w:w="1326" w:type="dxa"/>
          </w:tcPr>
          <w:p w14:paraId="3ACFC482"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17 760,27</w:t>
            </w:r>
          </w:p>
        </w:tc>
        <w:tc>
          <w:tcPr>
            <w:tcW w:w="1559" w:type="dxa"/>
          </w:tcPr>
          <w:p w14:paraId="4FB289E4"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2 142 400,84</w:t>
            </w:r>
          </w:p>
        </w:tc>
      </w:tr>
      <w:tr w:rsidR="00F0151C" w:rsidRPr="00F0151C" w14:paraId="72E02FE4" w14:textId="77777777" w:rsidTr="00AB770F">
        <w:trPr>
          <w:trHeight w:val="284"/>
        </w:trPr>
        <w:tc>
          <w:tcPr>
            <w:tcW w:w="1060" w:type="dxa"/>
            <w:vMerge/>
            <w:shd w:val="clear" w:color="auto" w:fill="D9D9D9"/>
          </w:tcPr>
          <w:p w14:paraId="0DE94506"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p>
        </w:tc>
        <w:tc>
          <w:tcPr>
            <w:tcW w:w="1705" w:type="dxa"/>
            <w:shd w:val="clear" w:color="auto" w:fill="D9D9D9"/>
          </w:tcPr>
          <w:p w14:paraId="4909A32A"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 użytkowe</w:t>
            </w:r>
          </w:p>
        </w:tc>
        <w:tc>
          <w:tcPr>
            <w:tcW w:w="1602" w:type="dxa"/>
          </w:tcPr>
          <w:p w14:paraId="11C54DA4"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27 131,79</w:t>
            </w:r>
          </w:p>
        </w:tc>
        <w:tc>
          <w:tcPr>
            <w:tcW w:w="1815" w:type="dxa"/>
          </w:tcPr>
          <w:p w14:paraId="594035B6"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362 568,74</w:t>
            </w:r>
          </w:p>
        </w:tc>
        <w:tc>
          <w:tcPr>
            <w:tcW w:w="1326" w:type="dxa"/>
          </w:tcPr>
          <w:p w14:paraId="0F597C9C"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2 022,85</w:t>
            </w:r>
          </w:p>
        </w:tc>
        <w:tc>
          <w:tcPr>
            <w:tcW w:w="1559" w:type="dxa"/>
          </w:tcPr>
          <w:p w14:paraId="770E18F4"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391 723,38</w:t>
            </w:r>
          </w:p>
        </w:tc>
      </w:tr>
      <w:tr w:rsidR="00F0151C" w:rsidRPr="00F0151C" w14:paraId="1BFCA2F3" w14:textId="77777777" w:rsidTr="00AB770F">
        <w:trPr>
          <w:trHeight w:val="284"/>
        </w:trPr>
        <w:tc>
          <w:tcPr>
            <w:tcW w:w="1060" w:type="dxa"/>
            <w:vMerge w:val="restart"/>
            <w:shd w:val="clear" w:color="auto" w:fill="D9D9D9"/>
          </w:tcPr>
          <w:p w14:paraId="1D9A235C"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ROM III</w:t>
            </w:r>
          </w:p>
        </w:tc>
        <w:tc>
          <w:tcPr>
            <w:tcW w:w="1705" w:type="dxa"/>
            <w:shd w:val="clear" w:color="auto" w:fill="D9D9D9"/>
          </w:tcPr>
          <w:p w14:paraId="3D4B38B2"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mieszkalne</w:t>
            </w:r>
          </w:p>
        </w:tc>
        <w:tc>
          <w:tcPr>
            <w:tcW w:w="1602" w:type="dxa"/>
          </w:tcPr>
          <w:p w14:paraId="09CAC7F4"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220 862,89</w:t>
            </w:r>
          </w:p>
        </w:tc>
        <w:tc>
          <w:tcPr>
            <w:tcW w:w="1815" w:type="dxa"/>
          </w:tcPr>
          <w:p w14:paraId="43659376"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2 412 342,76</w:t>
            </w:r>
          </w:p>
        </w:tc>
        <w:tc>
          <w:tcPr>
            <w:tcW w:w="1326" w:type="dxa"/>
          </w:tcPr>
          <w:p w14:paraId="2AD6FC12"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9 475,07</w:t>
            </w:r>
          </w:p>
        </w:tc>
        <w:tc>
          <w:tcPr>
            <w:tcW w:w="1559" w:type="dxa"/>
          </w:tcPr>
          <w:p w14:paraId="14910F17"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2 642 680,72</w:t>
            </w:r>
          </w:p>
        </w:tc>
      </w:tr>
      <w:tr w:rsidR="00F0151C" w:rsidRPr="00F0151C" w14:paraId="3596A280" w14:textId="77777777" w:rsidTr="00AB770F">
        <w:trPr>
          <w:trHeight w:val="284"/>
        </w:trPr>
        <w:tc>
          <w:tcPr>
            <w:tcW w:w="1060" w:type="dxa"/>
            <w:vMerge/>
            <w:shd w:val="clear" w:color="auto" w:fill="D9D9D9"/>
          </w:tcPr>
          <w:p w14:paraId="46040397"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p>
        </w:tc>
        <w:tc>
          <w:tcPr>
            <w:tcW w:w="1705" w:type="dxa"/>
            <w:shd w:val="clear" w:color="auto" w:fill="D9D9D9"/>
          </w:tcPr>
          <w:p w14:paraId="230AA45B"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 użytkowe</w:t>
            </w:r>
          </w:p>
        </w:tc>
        <w:tc>
          <w:tcPr>
            <w:tcW w:w="1602" w:type="dxa"/>
          </w:tcPr>
          <w:p w14:paraId="6A4FEB22"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32 799,07</w:t>
            </w:r>
          </w:p>
        </w:tc>
        <w:tc>
          <w:tcPr>
            <w:tcW w:w="1815" w:type="dxa"/>
          </w:tcPr>
          <w:p w14:paraId="16FC5A69"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1 991,22</w:t>
            </w:r>
          </w:p>
        </w:tc>
        <w:tc>
          <w:tcPr>
            <w:tcW w:w="1326" w:type="dxa"/>
          </w:tcPr>
          <w:p w14:paraId="6A252690"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2 623,43</w:t>
            </w:r>
          </w:p>
        </w:tc>
        <w:tc>
          <w:tcPr>
            <w:tcW w:w="1559" w:type="dxa"/>
          </w:tcPr>
          <w:p w14:paraId="2E4559E6"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37 413,72</w:t>
            </w:r>
          </w:p>
        </w:tc>
      </w:tr>
      <w:tr w:rsidR="00F0151C" w:rsidRPr="00F0151C" w14:paraId="6396B60F" w14:textId="77777777" w:rsidTr="00AB770F">
        <w:trPr>
          <w:trHeight w:val="284"/>
        </w:trPr>
        <w:tc>
          <w:tcPr>
            <w:tcW w:w="1060" w:type="dxa"/>
            <w:vMerge w:val="restart"/>
            <w:shd w:val="clear" w:color="auto" w:fill="D9D9D9"/>
          </w:tcPr>
          <w:p w14:paraId="6EE4C916"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ROM IV</w:t>
            </w:r>
          </w:p>
        </w:tc>
        <w:tc>
          <w:tcPr>
            <w:tcW w:w="1705" w:type="dxa"/>
            <w:shd w:val="clear" w:color="auto" w:fill="D9D9D9"/>
          </w:tcPr>
          <w:p w14:paraId="5A0340DC"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mieszkalne</w:t>
            </w:r>
          </w:p>
        </w:tc>
        <w:tc>
          <w:tcPr>
            <w:tcW w:w="1602" w:type="dxa"/>
          </w:tcPr>
          <w:p w14:paraId="49DC191B"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341 504,12</w:t>
            </w:r>
          </w:p>
        </w:tc>
        <w:tc>
          <w:tcPr>
            <w:tcW w:w="1815" w:type="dxa"/>
          </w:tcPr>
          <w:p w14:paraId="1BBBEAD7"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3 753 494,76</w:t>
            </w:r>
          </w:p>
        </w:tc>
        <w:tc>
          <w:tcPr>
            <w:tcW w:w="1326" w:type="dxa"/>
          </w:tcPr>
          <w:p w14:paraId="132CFF44"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67 164,32</w:t>
            </w:r>
          </w:p>
        </w:tc>
        <w:tc>
          <w:tcPr>
            <w:tcW w:w="1559" w:type="dxa"/>
          </w:tcPr>
          <w:p w14:paraId="4049A048"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 xml:space="preserve"> 4 162 163,20</w:t>
            </w:r>
          </w:p>
        </w:tc>
      </w:tr>
      <w:tr w:rsidR="00F0151C" w:rsidRPr="00F0151C" w14:paraId="5F7EEF08" w14:textId="77777777" w:rsidTr="00AB770F">
        <w:trPr>
          <w:trHeight w:val="284"/>
        </w:trPr>
        <w:tc>
          <w:tcPr>
            <w:tcW w:w="1060" w:type="dxa"/>
            <w:vMerge/>
            <w:shd w:val="clear" w:color="auto" w:fill="D9D9D9"/>
          </w:tcPr>
          <w:p w14:paraId="27D3375D"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p>
        </w:tc>
        <w:tc>
          <w:tcPr>
            <w:tcW w:w="1705" w:type="dxa"/>
            <w:shd w:val="clear" w:color="auto" w:fill="D9D9D9"/>
          </w:tcPr>
          <w:p w14:paraId="6CFFC36C"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 użytkowe</w:t>
            </w:r>
          </w:p>
        </w:tc>
        <w:tc>
          <w:tcPr>
            <w:tcW w:w="1602" w:type="dxa"/>
          </w:tcPr>
          <w:p w14:paraId="2AF901DE"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105 406,27</w:t>
            </w:r>
          </w:p>
        </w:tc>
        <w:tc>
          <w:tcPr>
            <w:tcW w:w="1815" w:type="dxa"/>
          </w:tcPr>
          <w:p w14:paraId="2DC97066"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0</w:t>
            </w:r>
          </w:p>
        </w:tc>
        <w:tc>
          <w:tcPr>
            <w:tcW w:w="1326" w:type="dxa"/>
          </w:tcPr>
          <w:p w14:paraId="23E9CF39"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2 550,34</w:t>
            </w:r>
          </w:p>
        </w:tc>
        <w:tc>
          <w:tcPr>
            <w:tcW w:w="1559" w:type="dxa"/>
          </w:tcPr>
          <w:p w14:paraId="5BBF9333"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107 956,61</w:t>
            </w:r>
          </w:p>
        </w:tc>
      </w:tr>
      <w:tr w:rsidR="00F0151C" w:rsidRPr="00F0151C" w14:paraId="68072332" w14:textId="77777777" w:rsidTr="00AB770F">
        <w:trPr>
          <w:trHeight w:val="284"/>
        </w:trPr>
        <w:tc>
          <w:tcPr>
            <w:tcW w:w="1060" w:type="dxa"/>
            <w:vMerge w:val="restart"/>
            <w:shd w:val="clear" w:color="auto" w:fill="D9D9D9"/>
          </w:tcPr>
          <w:p w14:paraId="23A4E824"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ROM V</w:t>
            </w:r>
          </w:p>
        </w:tc>
        <w:tc>
          <w:tcPr>
            <w:tcW w:w="1705" w:type="dxa"/>
            <w:shd w:val="clear" w:color="auto" w:fill="D9D9D9"/>
          </w:tcPr>
          <w:p w14:paraId="086A6594"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mieszkalne</w:t>
            </w:r>
          </w:p>
        </w:tc>
        <w:tc>
          <w:tcPr>
            <w:tcW w:w="1602" w:type="dxa"/>
          </w:tcPr>
          <w:p w14:paraId="74C79097"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171 650,75</w:t>
            </w:r>
          </w:p>
        </w:tc>
        <w:tc>
          <w:tcPr>
            <w:tcW w:w="1815" w:type="dxa"/>
          </w:tcPr>
          <w:p w14:paraId="2702E90B"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2 629 154,50</w:t>
            </w:r>
          </w:p>
        </w:tc>
        <w:tc>
          <w:tcPr>
            <w:tcW w:w="1326" w:type="dxa"/>
          </w:tcPr>
          <w:p w14:paraId="35B30BF6"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28 309,20</w:t>
            </w:r>
          </w:p>
        </w:tc>
        <w:tc>
          <w:tcPr>
            <w:tcW w:w="1559" w:type="dxa"/>
          </w:tcPr>
          <w:p w14:paraId="30DEA25A"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2 829 114,45</w:t>
            </w:r>
          </w:p>
        </w:tc>
      </w:tr>
      <w:tr w:rsidR="00F0151C" w:rsidRPr="00F0151C" w14:paraId="25BC0AB4" w14:textId="77777777" w:rsidTr="00AB770F">
        <w:trPr>
          <w:trHeight w:val="284"/>
        </w:trPr>
        <w:tc>
          <w:tcPr>
            <w:tcW w:w="1060" w:type="dxa"/>
            <w:vMerge/>
            <w:shd w:val="clear" w:color="auto" w:fill="D9D9D9"/>
          </w:tcPr>
          <w:p w14:paraId="74DE2075"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p>
        </w:tc>
        <w:tc>
          <w:tcPr>
            <w:tcW w:w="1705" w:type="dxa"/>
            <w:shd w:val="clear" w:color="auto" w:fill="D9D9D9"/>
          </w:tcPr>
          <w:p w14:paraId="08902CE8"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 użytkowe</w:t>
            </w:r>
          </w:p>
        </w:tc>
        <w:tc>
          <w:tcPr>
            <w:tcW w:w="1602" w:type="dxa"/>
          </w:tcPr>
          <w:p w14:paraId="1E177243"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3 376,36</w:t>
            </w:r>
          </w:p>
        </w:tc>
        <w:tc>
          <w:tcPr>
            <w:tcW w:w="1815" w:type="dxa"/>
          </w:tcPr>
          <w:p w14:paraId="04872DBD"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110 659,70</w:t>
            </w:r>
          </w:p>
        </w:tc>
        <w:tc>
          <w:tcPr>
            <w:tcW w:w="1326" w:type="dxa"/>
          </w:tcPr>
          <w:p w14:paraId="50F26461"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72,63</w:t>
            </w:r>
          </w:p>
        </w:tc>
        <w:tc>
          <w:tcPr>
            <w:tcW w:w="1559" w:type="dxa"/>
          </w:tcPr>
          <w:p w14:paraId="7E01CA55"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114 108,69</w:t>
            </w:r>
          </w:p>
        </w:tc>
      </w:tr>
      <w:tr w:rsidR="00F0151C" w:rsidRPr="00F0151C" w14:paraId="21E61A13" w14:textId="77777777" w:rsidTr="00AB770F">
        <w:trPr>
          <w:trHeight w:val="284"/>
        </w:trPr>
        <w:tc>
          <w:tcPr>
            <w:tcW w:w="1060" w:type="dxa"/>
            <w:vMerge w:val="restart"/>
            <w:shd w:val="clear" w:color="auto" w:fill="D9D9D9"/>
          </w:tcPr>
          <w:p w14:paraId="39F35D8E"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ROM VII</w:t>
            </w:r>
          </w:p>
        </w:tc>
        <w:tc>
          <w:tcPr>
            <w:tcW w:w="1705" w:type="dxa"/>
            <w:shd w:val="clear" w:color="auto" w:fill="D9D9D9"/>
          </w:tcPr>
          <w:p w14:paraId="4858D2F9"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mieszkalne</w:t>
            </w:r>
          </w:p>
        </w:tc>
        <w:tc>
          <w:tcPr>
            <w:tcW w:w="1602" w:type="dxa"/>
          </w:tcPr>
          <w:p w14:paraId="12A271C0"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423,96</w:t>
            </w:r>
          </w:p>
        </w:tc>
        <w:tc>
          <w:tcPr>
            <w:tcW w:w="1815" w:type="dxa"/>
          </w:tcPr>
          <w:p w14:paraId="7CF29DAD"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0,00</w:t>
            </w:r>
          </w:p>
        </w:tc>
        <w:tc>
          <w:tcPr>
            <w:tcW w:w="1326" w:type="dxa"/>
          </w:tcPr>
          <w:p w14:paraId="0297E844"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4,89</w:t>
            </w:r>
          </w:p>
        </w:tc>
        <w:tc>
          <w:tcPr>
            <w:tcW w:w="1559" w:type="dxa"/>
          </w:tcPr>
          <w:p w14:paraId="18B63A45"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428,85</w:t>
            </w:r>
          </w:p>
        </w:tc>
      </w:tr>
      <w:tr w:rsidR="00F0151C" w:rsidRPr="00F0151C" w14:paraId="19FC8EC4" w14:textId="77777777" w:rsidTr="00AB770F">
        <w:trPr>
          <w:trHeight w:val="284"/>
        </w:trPr>
        <w:tc>
          <w:tcPr>
            <w:tcW w:w="1060" w:type="dxa"/>
            <w:vMerge/>
            <w:shd w:val="clear" w:color="auto" w:fill="D9D9D9"/>
          </w:tcPr>
          <w:p w14:paraId="13830D71"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p>
        </w:tc>
        <w:tc>
          <w:tcPr>
            <w:tcW w:w="1705" w:type="dxa"/>
            <w:shd w:val="clear" w:color="auto" w:fill="D9D9D9"/>
          </w:tcPr>
          <w:p w14:paraId="25A766EB" w14:textId="77777777" w:rsidR="00C84C9C" w:rsidRPr="00F0151C" w:rsidRDefault="00C84C9C" w:rsidP="00AB770F">
            <w:pPr>
              <w:widowControl w:val="0"/>
              <w:tabs>
                <w:tab w:val="left" w:pos="-8505"/>
                <w:tab w:val="left" w:pos="-2127"/>
              </w:tabs>
              <w:suppressAutoHyphens/>
              <w:contextualSpacing/>
              <w:jc w:val="both"/>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Lok . użytkowe</w:t>
            </w:r>
          </w:p>
        </w:tc>
        <w:tc>
          <w:tcPr>
            <w:tcW w:w="1602" w:type="dxa"/>
          </w:tcPr>
          <w:p w14:paraId="2224080F"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170 422,95</w:t>
            </w:r>
          </w:p>
        </w:tc>
        <w:tc>
          <w:tcPr>
            <w:tcW w:w="1815" w:type="dxa"/>
          </w:tcPr>
          <w:p w14:paraId="5B55F440"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965 527,30</w:t>
            </w:r>
          </w:p>
        </w:tc>
        <w:tc>
          <w:tcPr>
            <w:tcW w:w="1326" w:type="dxa"/>
          </w:tcPr>
          <w:p w14:paraId="0B881C10"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18 113,65</w:t>
            </w:r>
          </w:p>
        </w:tc>
        <w:tc>
          <w:tcPr>
            <w:tcW w:w="1559" w:type="dxa"/>
          </w:tcPr>
          <w:p w14:paraId="7FA938FF"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1 154 063,90</w:t>
            </w:r>
          </w:p>
        </w:tc>
      </w:tr>
      <w:tr w:rsidR="00F0151C" w:rsidRPr="00F0151C" w14:paraId="08F670E7" w14:textId="77777777" w:rsidTr="00AB770F">
        <w:trPr>
          <w:trHeight w:val="284"/>
        </w:trPr>
        <w:tc>
          <w:tcPr>
            <w:tcW w:w="2765" w:type="dxa"/>
            <w:gridSpan w:val="2"/>
            <w:shd w:val="clear" w:color="auto" w:fill="D9D9D9"/>
          </w:tcPr>
          <w:p w14:paraId="08FDC00F" w14:textId="77777777" w:rsidR="00C84C9C" w:rsidRPr="00F0151C" w:rsidRDefault="00C84C9C" w:rsidP="00AB770F">
            <w:pPr>
              <w:widowControl w:val="0"/>
              <w:tabs>
                <w:tab w:val="left" w:pos="-8505"/>
                <w:tab w:val="left" w:pos="-2127"/>
              </w:tabs>
              <w:suppressAutoHyphens/>
              <w:contextualSpacing/>
              <w:jc w:val="center"/>
              <w:textAlignment w:val="baseline"/>
              <w:rPr>
                <w:rFonts w:ascii="Arial" w:eastAsia="Andale Sans UI" w:hAnsi="Arial" w:cs="Arial"/>
                <w:b/>
                <w:bCs/>
                <w:color w:val="auto"/>
                <w:spacing w:val="-2"/>
                <w:sz w:val="16"/>
                <w:szCs w:val="16"/>
                <w:lang w:eastAsia="ja-JP" w:bidi="fa-IR"/>
              </w:rPr>
            </w:pPr>
            <w:r w:rsidRPr="00F0151C">
              <w:rPr>
                <w:rFonts w:ascii="Arial" w:eastAsia="Andale Sans UI" w:hAnsi="Arial" w:cs="Arial"/>
                <w:b/>
                <w:bCs/>
                <w:color w:val="auto"/>
                <w:spacing w:val="-2"/>
                <w:sz w:val="16"/>
                <w:szCs w:val="16"/>
                <w:lang w:eastAsia="ja-JP" w:bidi="fa-IR"/>
              </w:rPr>
              <w:t>RAZEM:</w:t>
            </w:r>
          </w:p>
        </w:tc>
        <w:tc>
          <w:tcPr>
            <w:tcW w:w="1602" w:type="dxa"/>
            <w:shd w:val="clear" w:color="auto" w:fill="D9D9D9"/>
          </w:tcPr>
          <w:p w14:paraId="09BDC489"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1 722 533,35</w:t>
            </w:r>
          </w:p>
        </w:tc>
        <w:tc>
          <w:tcPr>
            <w:tcW w:w="1815" w:type="dxa"/>
            <w:shd w:val="clear" w:color="auto" w:fill="D9D9D9"/>
          </w:tcPr>
          <w:p w14:paraId="50298161"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14 694 118,63</w:t>
            </w:r>
          </w:p>
        </w:tc>
        <w:tc>
          <w:tcPr>
            <w:tcW w:w="1326" w:type="dxa"/>
            <w:shd w:val="clear" w:color="auto" w:fill="D9D9D9"/>
          </w:tcPr>
          <w:p w14:paraId="63553643"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color w:val="auto"/>
                <w:spacing w:val="-2"/>
                <w:sz w:val="16"/>
                <w:szCs w:val="16"/>
                <w:lang w:eastAsia="ja-JP" w:bidi="fa-IR"/>
              </w:rPr>
            </w:pPr>
            <w:r w:rsidRPr="00F0151C">
              <w:rPr>
                <w:rFonts w:ascii="Arial" w:eastAsia="Andale Sans UI" w:hAnsi="Arial" w:cs="Arial"/>
                <w:color w:val="auto"/>
                <w:spacing w:val="-2"/>
                <w:sz w:val="16"/>
                <w:szCs w:val="16"/>
                <w:lang w:eastAsia="ja-JP" w:bidi="fa-IR"/>
              </w:rPr>
              <w:t>218 335,49</w:t>
            </w:r>
          </w:p>
        </w:tc>
        <w:tc>
          <w:tcPr>
            <w:tcW w:w="1559" w:type="dxa"/>
            <w:shd w:val="clear" w:color="auto" w:fill="D9D9D9"/>
          </w:tcPr>
          <w:p w14:paraId="570F81E1" w14:textId="77777777" w:rsidR="00C84C9C" w:rsidRPr="00F0151C" w:rsidRDefault="00C84C9C" w:rsidP="004F74DE">
            <w:pPr>
              <w:widowControl w:val="0"/>
              <w:tabs>
                <w:tab w:val="left" w:pos="-8505"/>
                <w:tab w:val="left" w:pos="-2127"/>
              </w:tabs>
              <w:suppressAutoHyphens/>
              <w:contextualSpacing/>
              <w:jc w:val="right"/>
              <w:textAlignment w:val="baseline"/>
              <w:rPr>
                <w:rFonts w:ascii="Arial" w:eastAsia="Andale Sans UI" w:hAnsi="Arial" w:cs="Arial"/>
                <w:b/>
                <w:bCs/>
                <w:color w:val="auto"/>
                <w:spacing w:val="-2"/>
                <w:sz w:val="16"/>
                <w:szCs w:val="16"/>
                <w:lang w:eastAsia="ja-JP" w:bidi="fa-IR"/>
              </w:rPr>
            </w:pPr>
            <w:r w:rsidRPr="00F0151C">
              <w:rPr>
                <w:rFonts w:ascii="Arial" w:eastAsia="Andale Sans UI" w:hAnsi="Arial" w:cs="Arial"/>
                <w:b/>
                <w:bCs/>
                <w:color w:val="auto"/>
                <w:spacing w:val="-2"/>
                <w:sz w:val="16"/>
                <w:szCs w:val="16"/>
                <w:lang w:eastAsia="ja-JP" w:bidi="fa-IR"/>
              </w:rPr>
              <w:t>16 634 987,47</w:t>
            </w:r>
          </w:p>
        </w:tc>
      </w:tr>
    </w:tbl>
    <w:p w14:paraId="7156116D" w14:textId="77777777" w:rsidR="00C84C9C" w:rsidRPr="00F0151C" w:rsidRDefault="00C84C9C" w:rsidP="00C84C9C">
      <w:pPr>
        <w:widowControl w:val="0"/>
        <w:tabs>
          <w:tab w:val="left" w:pos="-8505"/>
          <w:tab w:val="left" w:pos="-2127"/>
        </w:tabs>
        <w:suppressAutoHyphens/>
        <w:spacing w:line="360" w:lineRule="auto"/>
        <w:contextualSpacing/>
        <w:jc w:val="both"/>
        <w:textAlignment w:val="baseline"/>
        <w:rPr>
          <w:rFonts w:ascii="Arial" w:eastAsia="Andale Sans UI" w:hAnsi="Arial" w:cs="Arial"/>
          <w:color w:val="auto"/>
          <w:spacing w:val="-2"/>
          <w:sz w:val="10"/>
          <w:szCs w:val="10"/>
          <w:lang w:eastAsia="ja-JP" w:bidi="fa-IR"/>
        </w:rPr>
      </w:pPr>
    </w:p>
    <w:p w14:paraId="0DE775B1" w14:textId="77777777" w:rsidR="00C84C9C" w:rsidRPr="00F0151C" w:rsidRDefault="00C84C9C" w:rsidP="00C84C9C">
      <w:pPr>
        <w:widowControl w:val="0"/>
        <w:tabs>
          <w:tab w:val="left" w:pos="-8505"/>
          <w:tab w:val="left" w:pos="-2127"/>
        </w:tabs>
        <w:suppressAutoHyphens/>
        <w:spacing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Zarządzeniem dyrektora MZBM-u nr 0152/43/03/2021 z dnia 15.03.2021 r. wprowadzono instrukcję pt. Tryb postępowania z dłużnikami. W zarządzeniu określono ogólne zasady postępowania w przypadku powstania zaległości, w tym m.in.:</w:t>
      </w:r>
    </w:p>
    <w:p w14:paraId="039ABAC8" w14:textId="77777777" w:rsidR="00C84C9C" w:rsidRPr="00F0151C" w:rsidRDefault="00C84C9C" w:rsidP="00326634">
      <w:pPr>
        <w:widowControl w:val="0"/>
        <w:numPr>
          <w:ilvl w:val="0"/>
          <w:numId w:val="39"/>
        </w:numPr>
        <w:tabs>
          <w:tab w:val="left" w:pos="-8505"/>
          <w:tab w:val="left" w:pos="-2127"/>
        </w:tabs>
        <w:suppressAutoHyphens/>
        <w:overflowPunct/>
        <w:spacing w:after="16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szybka reakcja na powstające zadłużenie (max 1-2 m-</w:t>
      </w:r>
      <w:proofErr w:type="spellStart"/>
      <w:r w:rsidRPr="00F0151C">
        <w:rPr>
          <w:rFonts w:ascii="Arial" w:eastAsia="Andale Sans UI" w:hAnsi="Arial" w:cs="Arial"/>
          <w:color w:val="auto"/>
          <w:spacing w:val="-2"/>
          <w:lang w:eastAsia="ja-JP" w:bidi="fa-IR"/>
        </w:rPr>
        <w:t>cy</w:t>
      </w:r>
      <w:proofErr w:type="spellEnd"/>
      <w:r w:rsidRPr="00F0151C">
        <w:rPr>
          <w:rFonts w:ascii="Arial" w:eastAsia="Andale Sans UI" w:hAnsi="Arial" w:cs="Arial"/>
          <w:color w:val="auto"/>
          <w:spacing w:val="-2"/>
          <w:lang w:eastAsia="ja-JP" w:bidi="fa-IR"/>
        </w:rPr>
        <w:t xml:space="preserve"> zadłużenia),</w:t>
      </w:r>
    </w:p>
    <w:p w14:paraId="61FC35F7" w14:textId="77777777" w:rsidR="00C84C9C" w:rsidRPr="00F0151C" w:rsidRDefault="00C84C9C" w:rsidP="00326634">
      <w:pPr>
        <w:widowControl w:val="0"/>
        <w:numPr>
          <w:ilvl w:val="0"/>
          <w:numId w:val="39"/>
        </w:numPr>
        <w:tabs>
          <w:tab w:val="left" w:pos="-8505"/>
          <w:tab w:val="left" w:pos="-2127"/>
        </w:tabs>
        <w:suppressAutoHyphens/>
        <w:overflowPunct/>
        <w:spacing w:after="16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 xml:space="preserve">przypomnienie telefoniczne o istniejącym zadłużeniu (należy sporządzać notatkę </w:t>
      </w:r>
      <w:r w:rsidRPr="00F0151C">
        <w:rPr>
          <w:rFonts w:ascii="Arial" w:eastAsia="Andale Sans UI" w:hAnsi="Arial" w:cs="Arial"/>
          <w:bCs/>
          <w:color w:val="auto"/>
          <w:spacing w:val="-2"/>
          <w:lang w:eastAsia="ja-JP" w:bidi="fa-IR"/>
        </w:rPr>
        <w:lastRenderedPageBreak/>
        <w:t>służbową z przeprowadzonej rozmowy),</w:t>
      </w:r>
    </w:p>
    <w:p w14:paraId="23AF1E1F" w14:textId="77777777" w:rsidR="00C84C9C" w:rsidRPr="00F0151C" w:rsidRDefault="00C84C9C" w:rsidP="00326634">
      <w:pPr>
        <w:widowControl w:val="0"/>
        <w:numPr>
          <w:ilvl w:val="0"/>
          <w:numId w:val="39"/>
        </w:numPr>
        <w:tabs>
          <w:tab w:val="left" w:pos="-8505"/>
          <w:tab w:val="left" w:pos="-2127"/>
        </w:tabs>
        <w:suppressAutoHyphens/>
        <w:overflowPunct/>
        <w:spacing w:after="16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wysyłanie stosownych powiadomień do dłużników w formie SMS lub e-mail,</w:t>
      </w:r>
    </w:p>
    <w:p w14:paraId="1023597D" w14:textId="77777777" w:rsidR="00C84C9C" w:rsidRPr="00F0151C" w:rsidRDefault="00C84C9C" w:rsidP="00326634">
      <w:pPr>
        <w:widowControl w:val="0"/>
        <w:numPr>
          <w:ilvl w:val="0"/>
          <w:numId w:val="39"/>
        </w:numPr>
        <w:tabs>
          <w:tab w:val="left" w:pos="-8505"/>
          <w:tab w:val="left" w:pos="-2127"/>
        </w:tabs>
        <w:suppressAutoHyphens/>
        <w:overflowPunct/>
        <w:spacing w:after="16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skuteczne docieranie do dłużnika oraz informowanie o istniejących sposobach pomocy udzielanych przez Gminę,</w:t>
      </w:r>
    </w:p>
    <w:p w14:paraId="372CDC2A" w14:textId="77777777" w:rsidR="00C84C9C" w:rsidRPr="00F0151C" w:rsidRDefault="00C84C9C" w:rsidP="00326634">
      <w:pPr>
        <w:widowControl w:val="0"/>
        <w:numPr>
          <w:ilvl w:val="0"/>
          <w:numId w:val="39"/>
        </w:numPr>
        <w:tabs>
          <w:tab w:val="left" w:pos="-8505"/>
          <w:tab w:val="left" w:pos="-2127"/>
        </w:tabs>
        <w:suppressAutoHyphens/>
        <w:overflowPunct/>
        <w:spacing w:after="16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nacisk na zamianę mieszkań,</w:t>
      </w:r>
    </w:p>
    <w:p w14:paraId="4F07033C" w14:textId="77777777" w:rsidR="00C84C9C" w:rsidRPr="00F0151C" w:rsidRDefault="00C84C9C" w:rsidP="00326634">
      <w:pPr>
        <w:widowControl w:val="0"/>
        <w:numPr>
          <w:ilvl w:val="0"/>
          <w:numId w:val="39"/>
        </w:numPr>
        <w:tabs>
          <w:tab w:val="left" w:pos="-8505"/>
          <w:tab w:val="left" w:pos="-2127"/>
        </w:tabs>
        <w:suppressAutoHyphens/>
        <w:overflowPunct/>
        <w:spacing w:after="16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rozważanie ewentualności uregulowania zadłużenia w formie odpracowania należności przez dłużnika,</w:t>
      </w:r>
    </w:p>
    <w:p w14:paraId="5B13F5AE" w14:textId="77777777" w:rsidR="00C84C9C" w:rsidRPr="00F0151C" w:rsidRDefault="00C84C9C" w:rsidP="00326634">
      <w:pPr>
        <w:widowControl w:val="0"/>
        <w:numPr>
          <w:ilvl w:val="0"/>
          <w:numId w:val="39"/>
        </w:numPr>
        <w:tabs>
          <w:tab w:val="left" w:pos="-8505"/>
          <w:tab w:val="left" w:pos="-2127"/>
        </w:tabs>
        <w:suppressAutoHyphens/>
        <w:overflowPunct/>
        <w:spacing w:after="16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bieżące monitorowanie stanu zadłużenia po przekazaniu sprawy do kancelarii prawniczej,</w:t>
      </w:r>
    </w:p>
    <w:p w14:paraId="27C4E8BB" w14:textId="77777777" w:rsidR="00C84C9C" w:rsidRPr="00F0151C" w:rsidRDefault="00C84C9C" w:rsidP="00326634">
      <w:pPr>
        <w:widowControl w:val="0"/>
        <w:numPr>
          <w:ilvl w:val="0"/>
          <w:numId w:val="39"/>
        </w:numPr>
        <w:tabs>
          <w:tab w:val="left" w:pos="-8505"/>
          <w:tab w:val="left" w:pos="-2127"/>
        </w:tabs>
        <w:suppressAutoHyphens/>
        <w:overflowPunct/>
        <w:spacing w:after="16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bCs/>
          <w:color w:val="auto"/>
          <w:spacing w:val="-2"/>
          <w:lang w:eastAsia="ja-JP" w:bidi="fa-IR"/>
        </w:rPr>
        <w:t>posługiwanie się pieczęcią prewencyjną kancelarii prawniczej na wszelkich rachunkach, fakturach, wezwaniach</w:t>
      </w:r>
      <w:r w:rsidRPr="00F0151C">
        <w:rPr>
          <w:rFonts w:ascii="Arial" w:eastAsia="Andale Sans UI" w:hAnsi="Arial" w:cs="Arial"/>
          <w:color w:val="auto"/>
          <w:spacing w:val="-2"/>
          <w:lang w:eastAsia="ja-JP" w:bidi="fa-IR"/>
        </w:rPr>
        <w:t xml:space="preserve"> do zapłaty i potwierdzeniach sald kierowanych do kontrahentów,</w:t>
      </w:r>
    </w:p>
    <w:p w14:paraId="48212394" w14:textId="77777777" w:rsidR="00C84C9C" w:rsidRPr="00F0151C" w:rsidRDefault="00C84C9C" w:rsidP="00C84C9C">
      <w:pPr>
        <w:widowControl w:val="0"/>
        <w:tabs>
          <w:tab w:val="left" w:pos="-8505"/>
          <w:tab w:val="left" w:pos="-2127"/>
        </w:tabs>
        <w:suppressAutoHyphens/>
        <w:spacing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Ponadto ustalono odrębnie:</w:t>
      </w:r>
    </w:p>
    <w:p w14:paraId="3A5EAFD8" w14:textId="77777777" w:rsidR="00C84C9C" w:rsidRPr="00F0151C" w:rsidRDefault="00C84C9C" w:rsidP="00326634">
      <w:pPr>
        <w:widowControl w:val="0"/>
        <w:numPr>
          <w:ilvl w:val="0"/>
          <w:numId w:val="42"/>
        </w:numPr>
        <w:tabs>
          <w:tab w:val="left" w:pos="-8505"/>
          <w:tab w:val="left" w:pos="-2127"/>
        </w:tabs>
        <w:suppressAutoHyphens/>
        <w:overflowPunct/>
        <w:spacing w:after="160" w:line="360" w:lineRule="auto"/>
        <w:contextualSpacing/>
        <w:jc w:val="both"/>
        <w:textAlignment w:val="baseline"/>
        <w:rPr>
          <w:rFonts w:ascii="Arial" w:eastAsia="Andale Sans UI" w:hAnsi="Arial" w:cs="Arial"/>
          <w:color w:val="auto"/>
          <w:spacing w:val="-2"/>
          <w:lang w:eastAsia="ja-JP" w:bidi="fa-IR"/>
        </w:rPr>
      </w:pPr>
      <w:bookmarkStart w:id="58" w:name="_Hlk146810863"/>
      <w:r w:rsidRPr="00F0151C">
        <w:rPr>
          <w:rFonts w:ascii="Arial" w:eastAsia="Andale Sans UI" w:hAnsi="Arial" w:cs="Arial"/>
          <w:color w:val="auto"/>
          <w:spacing w:val="-2"/>
          <w:u w:val="single"/>
          <w:lang w:eastAsia="ja-JP" w:bidi="fa-IR"/>
        </w:rPr>
        <w:t>Zasady postępowania w przypadku powstania zadłużenia z tytułu korzystania z lokalu mieszkalnego (najemcy, byli najemcy)</w:t>
      </w:r>
    </w:p>
    <w:bookmarkEnd w:id="58"/>
    <w:p w14:paraId="5D8CCB75" w14:textId="77777777" w:rsidR="00C84C9C" w:rsidRPr="00F0151C" w:rsidRDefault="00C84C9C" w:rsidP="00326634">
      <w:pPr>
        <w:widowControl w:val="0"/>
        <w:numPr>
          <w:ilvl w:val="0"/>
          <w:numId w:val="40"/>
        </w:numPr>
        <w:tabs>
          <w:tab w:val="left" w:pos="-8505"/>
          <w:tab w:val="left" w:pos="-2127"/>
        </w:tabs>
        <w:suppressAutoHyphens/>
        <w:overflowPunct/>
        <w:spacing w:after="160" w:line="360" w:lineRule="auto"/>
        <w:contextualSpacing/>
        <w:jc w:val="both"/>
        <w:textAlignment w:val="baseline"/>
        <w:rPr>
          <w:rFonts w:ascii="Arial" w:eastAsia="Andale Sans UI" w:hAnsi="Arial" w:cs="Arial"/>
          <w:b/>
          <w:color w:val="auto"/>
          <w:spacing w:val="-2"/>
          <w:lang w:eastAsia="ja-JP" w:bidi="fa-IR"/>
        </w:rPr>
      </w:pPr>
      <w:r w:rsidRPr="00F0151C">
        <w:rPr>
          <w:rFonts w:ascii="Arial" w:eastAsia="Andale Sans UI" w:hAnsi="Arial" w:cs="Arial"/>
          <w:color w:val="auto"/>
          <w:spacing w:val="-2"/>
          <w:lang w:eastAsia="ja-JP" w:bidi="fa-IR"/>
        </w:rPr>
        <w:t xml:space="preserve">Przeprowadzenie rozmowy z najemcą bądź byłym najemcą celem poinformowania </w:t>
      </w:r>
      <w:r w:rsidRPr="00F0151C">
        <w:rPr>
          <w:rFonts w:ascii="Arial" w:eastAsia="Andale Sans UI" w:hAnsi="Arial" w:cs="Arial"/>
          <w:color w:val="auto"/>
          <w:spacing w:val="-2"/>
          <w:lang w:eastAsia="ja-JP" w:bidi="fa-IR"/>
        </w:rPr>
        <w:br/>
        <w:t xml:space="preserve">o istnieniu zadłużenia oraz możliwości ubiegania się o udzielaną przez Gminę pomoc. </w:t>
      </w:r>
      <w:r w:rsidRPr="00F0151C">
        <w:rPr>
          <w:rFonts w:ascii="Arial" w:eastAsia="Andale Sans UI" w:hAnsi="Arial" w:cs="Arial"/>
          <w:color w:val="auto"/>
          <w:spacing w:val="-2"/>
          <w:lang w:eastAsia="ja-JP" w:bidi="fa-IR"/>
        </w:rPr>
        <w:br/>
        <w:t>(z przeprowadzonej rozmowy należy sporządzić protokół).</w:t>
      </w:r>
    </w:p>
    <w:p w14:paraId="7D66271C" w14:textId="77777777" w:rsidR="00C84C9C" w:rsidRPr="00F0151C" w:rsidRDefault="00C84C9C" w:rsidP="00326634">
      <w:pPr>
        <w:widowControl w:val="0"/>
        <w:numPr>
          <w:ilvl w:val="0"/>
          <w:numId w:val="40"/>
        </w:numPr>
        <w:tabs>
          <w:tab w:val="left" w:pos="-8505"/>
          <w:tab w:val="left" w:pos="-2127"/>
        </w:tabs>
        <w:suppressAutoHyphens/>
        <w:overflowPunct/>
        <w:spacing w:after="160" w:line="360" w:lineRule="auto"/>
        <w:contextualSpacing/>
        <w:jc w:val="both"/>
        <w:textAlignment w:val="baseline"/>
        <w:rPr>
          <w:rFonts w:ascii="Arial" w:eastAsia="Andale Sans UI" w:hAnsi="Arial" w:cs="Arial"/>
          <w:b/>
          <w:color w:val="auto"/>
          <w:spacing w:val="-2"/>
          <w:lang w:eastAsia="ja-JP" w:bidi="fa-IR"/>
        </w:rPr>
      </w:pPr>
      <w:r w:rsidRPr="00F0151C">
        <w:rPr>
          <w:rFonts w:ascii="Arial" w:eastAsia="Andale Sans UI" w:hAnsi="Arial" w:cs="Arial"/>
          <w:color w:val="auto"/>
          <w:spacing w:val="-2"/>
          <w:lang w:eastAsia="ja-JP" w:bidi="fa-IR"/>
        </w:rPr>
        <w:t>Wystosowanie wezwania do zapłaty istniejącego zadłużenia w terminie 14 dni licząc od dnia otrzymania pisma. Wezwanie oprócz istniejącego stanu zadłużenia powinno zawierać pouczenie o przekazaniu spraw do kancelarii prawniczej oraz możliwości przekazania danych dłużnika do Krajowego Rejestru Długów Biura Informacji Gospodarczej – poprzez nabicie na pierwszej stronie wezwania stosownych pieczęci. Na odwrocie wezwania należy zaś umieścić dodatkową klauzulę informacyjną dotyczącą KRD</w:t>
      </w:r>
      <w:r w:rsidRPr="00F0151C">
        <w:rPr>
          <w:rFonts w:ascii="Arial" w:eastAsia="Andale Sans UI" w:hAnsi="Arial" w:cs="Arial"/>
          <w:b/>
          <w:color w:val="auto"/>
          <w:spacing w:val="-2"/>
          <w:lang w:eastAsia="ja-JP" w:bidi="fa-IR"/>
        </w:rPr>
        <w:t xml:space="preserve">, </w:t>
      </w:r>
    </w:p>
    <w:p w14:paraId="52F754AF" w14:textId="283BC040" w:rsidR="00C84C9C" w:rsidRPr="00F0151C" w:rsidRDefault="00C84C9C" w:rsidP="00326634">
      <w:pPr>
        <w:widowControl w:val="0"/>
        <w:numPr>
          <w:ilvl w:val="0"/>
          <w:numId w:val="40"/>
        </w:numPr>
        <w:tabs>
          <w:tab w:val="left" w:pos="-8505"/>
          <w:tab w:val="left" w:pos="-2127"/>
        </w:tabs>
        <w:suppressAutoHyphens/>
        <w:overflowPunct/>
        <w:spacing w:after="16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W przypadku bezskutecznego upływu wyznaczonego wezwania 14-dniowego terminu i przed skierowaniem sprawy do kancelarii prawniczej, należy ponownie spróbować nawiązać kontakt telefoniczny z dłużnikiem i sporządzić notatkę służbową z</w:t>
      </w:r>
      <w:r w:rsidR="00340D5F" w:rsidRPr="00F0151C">
        <w:rPr>
          <w:rFonts w:ascii="Arial" w:eastAsia="Andale Sans UI" w:hAnsi="Arial" w:cs="Arial"/>
          <w:bCs/>
          <w:color w:val="auto"/>
          <w:spacing w:val="-2"/>
          <w:lang w:eastAsia="ja-JP" w:bidi="fa-IR"/>
        </w:rPr>
        <w:t> </w:t>
      </w:r>
      <w:r w:rsidRPr="00F0151C">
        <w:rPr>
          <w:rFonts w:ascii="Arial" w:eastAsia="Andale Sans UI" w:hAnsi="Arial" w:cs="Arial"/>
          <w:bCs/>
          <w:color w:val="auto"/>
          <w:spacing w:val="-2"/>
          <w:lang w:eastAsia="ja-JP" w:bidi="fa-IR"/>
        </w:rPr>
        <w:t>przeprowadzonej rozmowy,</w:t>
      </w:r>
    </w:p>
    <w:p w14:paraId="75788C9F" w14:textId="77777777" w:rsidR="00C84C9C" w:rsidRPr="00F0151C" w:rsidRDefault="00C84C9C" w:rsidP="00326634">
      <w:pPr>
        <w:widowControl w:val="0"/>
        <w:numPr>
          <w:ilvl w:val="0"/>
          <w:numId w:val="40"/>
        </w:numPr>
        <w:tabs>
          <w:tab w:val="left" w:pos="-8505"/>
          <w:tab w:val="left" w:pos="-2127"/>
        </w:tabs>
        <w:suppressAutoHyphens/>
        <w:overflowPunct/>
        <w:spacing w:after="160" w:line="360" w:lineRule="auto"/>
        <w:contextualSpacing/>
        <w:jc w:val="both"/>
        <w:textAlignment w:val="baseline"/>
        <w:rPr>
          <w:rFonts w:ascii="Arial" w:eastAsia="Andale Sans UI" w:hAnsi="Arial" w:cs="Arial"/>
          <w:b/>
          <w:color w:val="auto"/>
          <w:spacing w:val="-2"/>
          <w:lang w:eastAsia="ja-JP" w:bidi="fa-IR"/>
        </w:rPr>
      </w:pPr>
      <w:r w:rsidRPr="00F0151C">
        <w:rPr>
          <w:rFonts w:ascii="Arial" w:eastAsia="Andale Sans UI" w:hAnsi="Arial" w:cs="Arial"/>
          <w:color w:val="auto"/>
          <w:spacing w:val="-2"/>
          <w:lang w:eastAsia="ja-JP" w:bidi="fa-IR"/>
        </w:rPr>
        <w:t>Po bezskutecznym upływie wyżej określonego terminu i po ponownej bezskutecznej próbie nawiązania kontaktu telefonicznego z dłużnikiem, sprawę należy niezwłocznie skierować do kancelarii prawniczej celem podjęcia dalszych stosownych działań.</w:t>
      </w:r>
    </w:p>
    <w:p w14:paraId="2CB7A1CE" w14:textId="77777777" w:rsidR="00C84C9C" w:rsidRPr="00F0151C" w:rsidRDefault="00C84C9C" w:rsidP="00326634">
      <w:pPr>
        <w:widowControl w:val="0"/>
        <w:numPr>
          <w:ilvl w:val="0"/>
          <w:numId w:val="40"/>
        </w:numPr>
        <w:tabs>
          <w:tab w:val="left" w:pos="-8505"/>
          <w:tab w:val="left" w:pos="-2127"/>
        </w:tabs>
        <w:suppressAutoHyphens/>
        <w:overflowPunct/>
        <w:spacing w:after="160" w:line="360" w:lineRule="auto"/>
        <w:contextualSpacing/>
        <w:jc w:val="both"/>
        <w:textAlignment w:val="baseline"/>
        <w:rPr>
          <w:rFonts w:ascii="Arial" w:eastAsia="Andale Sans UI" w:hAnsi="Arial" w:cs="Arial"/>
          <w:b/>
          <w:color w:val="auto"/>
          <w:spacing w:val="-2"/>
          <w:lang w:eastAsia="ja-JP" w:bidi="fa-IR"/>
        </w:rPr>
      </w:pPr>
      <w:r w:rsidRPr="00F0151C">
        <w:rPr>
          <w:rFonts w:ascii="Arial" w:eastAsia="Andale Sans UI" w:hAnsi="Arial" w:cs="Arial"/>
          <w:color w:val="auto"/>
          <w:spacing w:val="-2"/>
          <w:lang w:eastAsia="ja-JP" w:bidi="fa-IR"/>
        </w:rPr>
        <w:t>W przypadku nieuregulowania zobowiązania przez dłużnika oraz upływu 35 dni od dnia skutecznego doręczenia dłużnikowi wezwania do zapłaty, należy niezwłocznie przekazać dane dłużnika do KRD Biura Informacji Gospodarczej,</w:t>
      </w:r>
    </w:p>
    <w:p w14:paraId="1BC720FF" w14:textId="3634C43E" w:rsidR="00C84C9C" w:rsidRPr="00F0151C" w:rsidRDefault="00C84C9C" w:rsidP="00326634">
      <w:pPr>
        <w:widowControl w:val="0"/>
        <w:numPr>
          <w:ilvl w:val="0"/>
          <w:numId w:val="40"/>
        </w:numPr>
        <w:tabs>
          <w:tab w:val="left" w:pos="-8505"/>
          <w:tab w:val="left" w:pos="-2127"/>
        </w:tabs>
        <w:suppressAutoHyphens/>
        <w:overflowPunct/>
        <w:spacing w:after="0" w:line="360" w:lineRule="auto"/>
        <w:contextualSpacing/>
        <w:jc w:val="both"/>
        <w:textAlignment w:val="baseline"/>
        <w:rPr>
          <w:rFonts w:ascii="Arial" w:eastAsia="Andale Sans UI" w:hAnsi="Arial" w:cs="Arial"/>
          <w:b/>
          <w:color w:val="auto"/>
          <w:spacing w:val="-2"/>
          <w:lang w:eastAsia="ja-JP" w:bidi="fa-IR"/>
        </w:rPr>
      </w:pPr>
      <w:r w:rsidRPr="00F0151C">
        <w:rPr>
          <w:rFonts w:ascii="Arial" w:eastAsia="Andale Sans UI" w:hAnsi="Arial" w:cs="Arial"/>
          <w:color w:val="auto"/>
          <w:spacing w:val="-2"/>
          <w:lang w:eastAsia="ja-JP" w:bidi="fa-IR"/>
        </w:rPr>
        <w:lastRenderedPageBreak/>
        <w:t>Po przekazaniu sprawy do kancelarii prawniczej, należy na bieżąco monitorować stan zadłużenia, a w przypadku powstania kolejnego zadłużenia (nie objętego wnioskiem) konieczne jest na nowo podjęcie działań przewidzianych w procedurze, przy czym kierowanie kolejnego wniosku na drogę sądową o zapłatę powinno być poprzedzone wnikliwą analizą pod kątem jego celowości i racjonalności, a to przy uwzględnieniu skuteczności prowadzonego postępowania egzekucyjnego, sytuacji życiowej i</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majątkowej dłużników oraz terminu przedawnienia należności – by nie narażać Gminy Miasta Tychy na dodatkowe i zbędnie koszty. </w:t>
      </w:r>
    </w:p>
    <w:p w14:paraId="4149A337" w14:textId="77777777" w:rsidR="00C84C9C" w:rsidRPr="00F0151C" w:rsidRDefault="00C84C9C" w:rsidP="00C84C9C">
      <w:pPr>
        <w:widowControl w:val="0"/>
        <w:tabs>
          <w:tab w:val="left" w:pos="-8505"/>
          <w:tab w:val="left" w:pos="-2127"/>
        </w:tabs>
        <w:suppressAutoHyphens/>
        <w:spacing w:after="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Ponadto, w procedurze w sposób analogiczny jak powyżej uregulowano zasady postępowania w przypadku powstania zadłużenia z tytułu korzystania z lokalu użytkowego, z tą różnicą, że dodano następujące zapisy:</w:t>
      </w:r>
    </w:p>
    <w:p w14:paraId="410740E2" w14:textId="77777777" w:rsidR="00C84C9C" w:rsidRPr="00F0151C" w:rsidRDefault="00C84C9C" w:rsidP="00326634">
      <w:pPr>
        <w:widowControl w:val="0"/>
        <w:numPr>
          <w:ilvl w:val="0"/>
          <w:numId w:val="46"/>
        </w:numPr>
        <w:tabs>
          <w:tab w:val="left" w:pos="-8505"/>
          <w:tab w:val="left" w:pos="-2127"/>
        </w:tabs>
        <w:suppressAutoHyphens/>
        <w:overflowPunct/>
        <w:spacing w:after="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 xml:space="preserve">W przypadku dłużników będących najemcami lokali użytkowych, którzy nie reagują na wezwania o zapłaty oraz notorycznie zalegają z płatnościami należy rozważyć celowość podjęcia dodatkowych działań zmierzających do rozwiązania umowy najmu bez zachowania okresu wypowiedzenia oraz odzyskania lokalu. W tym celu należy:  </w:t>
      </w:r>
    </w:p>
    <w:p w14:paraId="4E50F804" w14:textId="77777777" w:rsidR="00C84C9C" w:rsidRPr="00F0151C" w:rsidRDefault="00C84C9C" w:rsidP="00326634">
      <w:pPr>
        <w:widowControl w:val="0"/>
        <w:numPr>
          <w:ilvl w:val="0"/>
          <w:numId w:val="47"/>
        </w:numPr>
        <w:tabs>
          <w:tab w:val="left" w:pos="-8505"/>
          <w:tab w:val="left" w:pos="-2127"/>
        </w:tabs>
        <w:suppressAutoHyphens/>
        <w:overflowPunct/>
        <w:spacing w:after="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Wystosować wezwanie do zapłaty istniejącego zadłużenia w terminie 1 miesiąca licząc od dnia otrzymania pisma, pod rygorem rozwiązania umowy najmu bez zachowania okresu wypowiedzenia oraz naliczania odszkodowania w wysokości 300 % należnego czynszu za każdy miesiąc bezumownego korzystania z tego lokalu,</w:t>
      </w:r>
    </w:p>
    <w:p w14:paraId="13478A19" w14:textId="77777777" w:rsidR="00C84C9C" w:rsidRPr="00F0151C" w:rsidRDefault="00C84C9C" w:rsidP="00326634">
      <w:pPr>
        <w:widowControl w:val="0"/>
        <w:numPr>
          <w:ilvl w:val="0"/>
          <w:numId w:val="47"/>
        </w:numPr>
        <w:tabs>
          <w:tab w:val="left" w:pos="-8505"/>
          <w:tab w:val="left" w:pos="-2127"/>
        </w:tabs>
        <w:suppressAutoHyphens/>
        <w:overflowPunct/>
        <w:spacing w:after="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Po bezskutecznym upływie ww. terminu wynajmujący rozwiązuje bez zachowania okresu wypowiedzenia łączącą strony umowę najmu lokalu użytkowego z równoczesnym wezwaniem do dobrowolnego wydania lokalu,</w:t>
      </w:r>
    </w:p>
    <w:p w14:paraId="3A898FFD" w14:textId="77777777" w:rsidR="00C84C9C" w:rsidRPr="00F0151C" w:rsidRDefault="00C84C9C" w:rsidP="00326634">
      <w:pPr>
        <w:widowControl w:val="0"/>
        <w:numPr>
          <w:ilvl w:val="0"/>
          <w:numId w:val="47"/>
        </w:numPr>
        <w:tabs>
          <w:tab w:val="left" w:pos="-8505"/>
          <w:tab w:val="left" w:pos="-2127"/>
        </w:tabs>
        <w:suppressAutoHyphens/>
        <w:overflowPunct/>
        <w:spacing w:after="0" w:line="360" w:lineRule="auto"/>
        <w:contextualSpacing/>
        <w:jc w:val="both"/>
        <w:textAlignment w:val="baseline"/>
        <w:rPr>
          <w:rFonts w:ascii="Arial" w:eastAsia="Andale Sans UI" w:hAnsi="Arial" w:cs="Arial"/>
          <w:bCs/>
          <w:color w:val="auto"/>
          <w:spacing w:val="-2"/>
          <w:lang w:eastAsia="ja-JP" w:bidi="fa-IR"/>
        </w:rPr>
      </w:pPr>
      <w:r w:rsidRPr="00F0151C">
        <w:rPr>
          <w:rFonts w:ascii="Arial" w:eastAsia="Andale Sans UI" w:hAnsi="Arial" w:cs="Arial"/>
          <w:bCs/>
          <w:color w:val="auto"/>
          <w:spacing w:val="-2"/>
          <w:lang w:eastAsia="ja-JP" w:bidi="fa-IR"/>
        </w:rPr>
        <w:t xml:space="preserve">Po bezskutecznym upływie terminu wyznaczonego do wydania lokalu należy niezwłocznie wystąpić z wnioskiem do kancelarii prawniczej o skierowanie sprawy na drogę postępowania sądowego o wydanie lokalu. </w:t>
      </w:r>
    </w:p>
    <w:p w14:paraId="4A65AB82" w14:textId="77777777" w:rsidR="00C84C9C" w:rsidRPr="00F0151C" w:rsidRDefault="00C84C9C" w:rsidP="001A72EB">
      <w:pPr>
        <w:widowControl w:val="0"/>
        <w:numPr>
          <w:ilvl w:val="0"/>
          <w:numId w:val="42"/>
        </w:numPr>
        <w:tabs>
          <w:tab w:val="left" w:pos="-8505"/>
          <w:tab w:val="left" w:pos="-2127"/>
        </w:tabs>
        <w:suppressAutoHyphens/>
        <w:overflowPunct/>
        <w:spacing w:after="0" w:line="360" w:lineRule="auto"/>
        <w:ind w:left="426" w:hanging="426"/>
        <w:contextualSpacing/>
        <w:jc w:val="both"/>
        <w:textAlignment w:val="baseline"/>
        <w:rPr>
          <w:rFonts w:ascii="Arial" w:eastAsia="Andale Sans UI" w:hAnsi="Arial" w:cs="Arial"/>
          <w:b/>
          <w:color w:val="auto"/>
          <w:spacing w:val="-2"/>
          <w:lang w:eastAsia="ja-JP" w:bidi="fa-IR"/>
        </w:rPr>
      </w:pPr>
      <w:r w:rsidRPr="00F0151C">
        <w:rPr>
          <w:rFonts w:ascii="Arial" w:eastAsia="Andale Sans UI" w:hAnsi="Arial" w:cs="Arial"/>
          <w:color w:val="auto"/>
          <w:spacing w:val="-2"/>
          <w:u w:val="single"/>
          <w:lang w:eastAsia="ja-JP" w:bidi="fa-IR"/>
        </w:rPr>
        <w:t>Zasady postępowania w przypadku konieczności wystąpienia o eksmisję:</w:t>
      </w:r>
    </w:p>
    <w:p w14:paraId="397188D2" w14:textId="77777777" w:rsidR="00C84C9C" w:rsidRPr="00F0151C" w:rsidRDefault="00C84C9C" w:rsidP="00326634">
      <w:pPr>
        <w:widowControl w:val="0"/>
        <w:numPr>
          <w:ilvl w:val="0"/>
          <w:numId w:val="43"/>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W przypadku nie podjęcia przez najemcę działań celem spłaty zadłużenia oraz nie podjęcia działań zmierzających do ubiegania się o udzieloną przez Gminę pomoc, a także w przypadku bezskutecznej egzekucji należy wystosować do najemcy ostateczne wezwanie do zapłaty z wyznaczeniem dodatkowego miesięcznego terminu spłaty zadłużenia. W przypadku dłużników notorycznych sprawę należy rozpatrywać indywidualnie.</w:t>
      </w:r>
    </w:p>
    <w:p w14:paraId="539ABE06" w14:textId="77777777" w:rsidR="00C84C9C" w:rsidRPr="00F0151C" w:rsidRDefault="00C84C9C" w:rsidP="00326634">
      <w:pPr>
        <w:widowControl w:val="0"/>
        <w:numPr>
          <w:ilvl w:val="0"/>
          <w:numId w:val="43"/>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Po bezskutecznym upływie ww. terminu wynajmujący wypowiada łączącą strony umowę najmu lokalu mieszkalnego z równoczesnym, wezwaniem do dobrowolnego opóźnienia lokalu. </w:t>
      </w:r>
    </w:p>
    <w:p w14:paraId="7278CEEF" w14:textId="77777777" w:rsidR="00C84C9C" w:rsidRPr="00F0151C" w:rsidRDefault="00C84C9C" w:rsidP="00326634">
      <w:pPr>
        <w:widowControl w:val="0"/>
        <w:numPr>
          <w:ilvl w:val="0"/>
          <w:numId w:val="43"/>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lastRenderedPageBreak/>
        <w:t xml:space="preserve">Po bezskutecznym upływie terminu wyznaczonego do opróżnienia lokalu należy niezwłocznie wystąpić z wnioskiem do kancelarii prawniczej o skierowanie sprawy na drogę postępowania sądowego o eksmisję. </w:t>
      </w:r>
    </w:p>
    <w:p w14:paraId="1FA7901A" w14:textId="77777777" w:rsidR="00C84C9C" w:rsidRPr="00F0151C" w:rsidRDefault="00C84C9C" w:rsidP="00326634">
      <w:pPr>
        <w:widowControl w:val="0"/>
        <w:numPr>
          <w:ilvl w:val="0"/>
          <w:numId w:val="43"/>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W przypadku wydania wyroku orzekającego eksmisję z jednoczesnym przyznaniem uprawnień do lokalu socjalnego należy przeprowadzić ponowną rozmowę z byłym najemcą, celem poinformowania o istniejącym zadłużeniu oraz możliwości ubiegania się o udzielaną przez Gminę Miasta Tychy pomoc, zwłaszcza w przedmiocie ubiegania się ponownie o dodatek mieszkaniowy.</w:t>
      </w:r>
    </w:p>
    <w:p w14:paraId="7A4FF0DC" w14:textId="77777777" w:rsidR="00C84C9C" w:rsidRPr="00F0151C" w:rsidRDefault="00C84C9C" w:rsidP="0061643B">
      <w:pPr>
        <w:widowControl w:val="0"/>
        <w:tabs>
          <w:tab w:val="left" w:pos="-8505"/>
          <w:tab w:val="left" w:pos="-2127"/>
        </w:tabs>
        <w:suppressAutoHyphens/>
        <w:spacing w:after="0" w:line="360" w:lineRule="auto"/>
        <w:ind w:firstLine="720"/>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Ponadto, w przypadku braku możliwości wyegzekwowania zadłużenia, na wniosek dłużnika istnieje możliwość: rozłożenia zadłużenia na raty, odroczenia terminu płatności oraz  odpracowania należności. </w:t>
      </w:r>
    </w:p>
    <w:p w14:paraId="67D829B2" w14:textId="77777777" w:rsidR="00C84C9C" w:rsidRPr="00F0151C" w:rsidRDefault="00C84C9C" w:rsidP="0061643B">
      <w:pPr>
        <w:widowControl w:val="0"/>
        <w:tabs>
          <w:tab w:val="left" w:pos="-8505"/>
          <w:tab w:val="left" w:pos="-2127"/>
        </w:tabs>
        <w:suppressAutoHyphens/>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Powyższe zapisy wskazują, że polityka postępowania z dłużnikami </w:t>
      </w:r>
      <w:proofErr w:type="spellStart"/>
      <w:r w:rsidRPr="00F0151C">
        <w:rPr>
          <w:rFonts w:ascii="Arial" w:eastAsia="Andale Sans UI" w:hAnsi="Arial" w:cs="Arial"/>
          <w:color w:val="auto"/>
          <w:spacing w:val="-2"/>
          <w:lang w:eastAsia="ja-JP" w:bidi="fa-IR"/>
        </w:rPr>
        <w:t>MZBMu</w:t>
      </w:r>
      <w:proofErr w:type="spellEnd"/>
      <w:r w:rsidRPr="00F0151C">
        <w:rPr>
          <w:rFonts w:ascii="Arial" w:eastAsia="Andale Sans UI" w:hAnsi="Arial" w:cs="Arial"/>
          <w:color w:val="auto"/>
          <w:spacing w:val="-2"/>
          <w:lang w:eastAsia="ja-JP" w:bidi="fa-IR"/>
        </w:rPr>
        <w:t xml:space="preserve"> jest otwarta na klienta i nakierowana na daleko idącą współpracę z dłużnikiem.</w:t>
      </w:r>
    </w:p>
    <w:p w14:paraId="6AC48294" w14:textId="77777777" w:rsidR="00C84C9C" w:rsidRPr="00F0151C" w:rsidRDefault="00C84C9C" w:rsidP="0061643B">
      <w:pPr>
        <w:widowControl w:val="0"/>
        <w:tabs>
          <w:tab w:val="left" w:pos="-8505"/>
          <w:tab w:val="left" w:pos="-2127"/>
        </w:tabs>
        <w:suppressAutoHyphens/>
        <w:spacing w:after="0" w:line="360" w:lineRule="auto"/>
        <w:contextualSpacing/>
        <w:jc w:val="both"/>
        <w:textAlignment w:val="baseline"/>
        <w:rPr>
          <w:rFonts w:ascii="Arial" w:eastAsia="Andale Sans UI" w:hAnsi="Arial" w:cs="Arial"/>
          <w:color w:val="auto"/>
          <w:spacing w:val="-2"/>
          <w:lang w:eastAsia="ja-JP" w:bidi="fa-IR"/>
        </w:rPr>
      </w:pPr>
    </w:p>
    <w:p w14:paraId="0FD25DB5" w14:textId="77777777" w:rsidR="00C84C9C" w:rsidRPr="00F0151C" w:rsidRDefault="00C84C9C" w:rsidP="00326634">
      <w:pPr>
        <w:widowControl w:val="0"/>
        <w:numPr>
          <w:ilvl w:val="0"/>
          <w:numId w:val="42"/>
        </w:numPr>
        <w:tabs>
          <w:tab w:val="left" w:pos="-8505"/>
          <w:tab w:val="left" w:pos="-2127"/>
        </w:tabs>
        <w:suppressAutoHyphens/>
        <w:overflowPunct/>
        <w:spacing w:after="0" w:line="360" w:lineRule="auto"/>
        <w:ind w:left="0" w:firstLine="360"/>
        <w:contextualSpacing/>
        <w:jc w:val="both"/>
        <w:textAlignment w:val="baseline"/>
        <w:rPr>
          <w:rFonts w:ascii="Arial" w:eastAsia="Andale Sans UI" w:hAnsi="Arial" w:cs="Arial"/>
          <w:color w:val="auto"/>
          <w:spacing w:val="-2"/>
          <w:u w:val="single"/>
          <w:lang w:eastAsia="ja-JP" w:bidi="fa-IR"/>
        </w:rPr>
      </w:pPr>
      <w:r w:rsidRPr="00F0151C">
        <w:rPr>
          <w:rFonts w:ascii="Arial" w:eastAsia="Andale Sans UI" w:hAnsi="Arial" w:cs="Arial"/>
          <w:color w:val="auto"/>
          <w:spacing w:val="-2"/>
          <w:u w:val="single"/>
          <w:lang w:eastAsia="ja-JP" w:bidi="fa-IR"/>
        </w:rPr>
        <w:t>Zasady postępowania w przypadku umorzenia postępowania egzekucyjnego prowadzonego przez Organ egzekucyjny z powodu bezskuteczności:</w:t>
      </w:r>
    </w:p>
    <w:p w14:paraId="1461987C" w14:textId="516FE436" w:rsidR="00C84C9C" w:rsidRPr="00F0151C" w:rsidRDefault="008C481C" w:rsidP="008C481C">
      <w:pPr>
        <w:widowControl w:val="0"/>
        <w:tabs>
          <w:tab w:val="left" w:pos="-8505"/>
          <w:tab w:val="left" w:pos="-2127"/>
        </w:tabs>
        <w:suppressAutoHyphens/>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ab/>
      </w:r>
      <w:r w:rsidR="00C84C9C" w:rsidRPr="00F0151C">
        <w:rPr>
          <w:rFonts w:ascii="Arial" w:eastAsia="Andale Sans UI" w:hAnsi="Arial" w:cs="Arial"/>
          <w:color w:val="auto"/>
          <w:spacing w:val="-2"/>
          <w:lang w:eastAsia="ja-JP" w:bidi="fa-IR"/>
        </w:rPr>
        <w:t>Po uzyskaniu od organu egzekucyjnego informacji o umorzeniu postępowania egzekucyjnego wraz z postanowieniem o umorzeniu egzekucji z powodu bezskuteczności, należy:</w:t>
      </w:r>
    </w:p>
    <w:p w14:paraId="7F239B91" w14:textId="77777777" w:rsidR="00C84C9C" w:rsidRPr="00F0151C" w:rsidRDefault="00C84C9C" w:rsidP="00326634">
      <w:pPr>
        <w:widowControl w:val="0"/>
        <w:numPr>
          <w:ilvl w:val="0"/>
          <w:numId w:val="44"/>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Przygotować stosowny wniosek do Prezydenta Miasta Tychy, bądź Dyrektora Zakładu o umorzeniu części lub całości zadłużenia</w:t>
      </w:r>
    </w:p>
    <w:p w14:paraId="141417AB" w14:textId="77777777" w:rsidR="00C84C9C" w:rsidRPr="00F0151C" w:rsidRDefault="00C84C9C" w:rsidP="0061643B">
      <w:pPr>
        <w:widowControl w:val="0"/>
        <w:tabs>
          <w:tab w:val="left" w:pos="-8505"/>
          <w:tab w:val="left" w:pos="-2127"/>
        </w:tabs>
        <w:suppressAutoHyphens/>
        <w:spacing w:after="0" w:line="360" w:lineRule="auto"/>
        <w:ind w:left="720"/>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Bądź</w:t>
      </w:r>
    </w:p>
    <w:p w14:paraId="61DCB6B0" w14:textId="78E818C0" w:rsidR="00C84C9C" w:rsidRPr="00F0151C" w:rsidRDefault="00C84C9C" w:rsidP="00326634">
      <w:pPr>
        <w:widowControl w:val="0"/>
        <w:numPr>
          <w:ilvl w:val="0"/>
          <w:numId w:val="44"/>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Ponownie skierować wniosek do kancelarii prawniczej o wszczęcie postępowania egzekucyjnego przeciwko dłużnikowi, nie wcześniej niż przed upływem12 miesięcy i</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nie później niż przed upływem 3 lat od daty wydania przez Organ egzekucyjny postanowieni</w:t>
      </w:r>
      <w:r w:rsidR="00446FDE" w:rsidRPr="00F0151C">
        <w:rPr>
          <w:rFonts w:ascii="Arial" w:eastAsia="Andale Sans UI" w:hAnsi="Arial" w:cs="Arial"/>
          <w:color w:val="auto"/>
          <w:spacing w:val="-2"/>
          <w:lang w:eastAsia="ja-JP" w:bidi="fa-IR"/>
        </w:rPr>
        <w:t>a</w:t>
      </w:r>
      <w:r w:rsidRPr="00F0151C">
        <w:rPr>
          <w:rFonts w:ascii="Arial" w:eastAsia="Andale Sans UI" w:hAnsi="Arial" w:cs="Arial"/>
          <w:color w:val="auto"/>
          <w:spacing w:val="-2"/>
          <w:lang w:eastAsia="ja-JP" w:bidi="fa-IR"/>
        </w:rPr>
        <w:t xml:space="preserve"> o umorzeniu postępowania egzekucyjnego z powodu jego bezskuteczności.</w:t>
      </w:r>
    </w:p>
    <w:p w14:paraId="6B596749" w14:textId="5C77CC6C" w:rsidR="00C84C9C" w:rsidRPr="00F0151C" w:rsidRDefault="00C84C9C" w:rsidP="0061643B">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Jeżeli adres zamieszkania dłużnika nie jest znany należy niezwłocznie wystąpić do UM z</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wnioskiem o udostępnienie danych adresowych dłużnika z rejestru PESEL. Dalsze działania są uzależnione od informacji zwrotnej tj. czy udało się ustalić nowy adres zamieszkania dłużnika.</w:t>
      </w:r>
    </w:p>
    <w:p w14:paraId="5FDC4431" w14:textId="77777777" w:rsidR="00C84C9C" w:rsidRPr="00F0151C" w:rsidRDefault="00C84C9C" w:rsidP="0061643B">
      <w:pPr>
        <w:widowControl w:val="0"/>
        <w:tabs>
          <w:tab w:val="left" w:pos="-8505"/>
          <w:tab w:val="left" w:pos="-2127"/>
        </w:tabs>
        <w:suppressAutoHyphens/>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ab/>
        <w:t>Podczas czynności kontrolnych weryfikacji pod kątem zastosowania procedury windykacji poddano wyrywkowo wybrane lokale posiadające zadłużenie. Akta najemców posiadających zadłużenie poddane weryfikacji:</w:t>
      </w:r>
    </w:p>
    <w:p w14:paraId="20310290" w14:textId="101B5A0A" w:rsidR="00C84C9C" w:rsidRPr="00F0151C" w:rsidRDefault="0066078B" w:rsidP="00326634">
      <w:pPr>
        <w:widowControl w:val="0"/>
        <w:numPr>
          <w:ilvl w:val="0"/>
          <w:numId w:val="41"/>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Dłużnik o nr </w:t>
      </w:r>
      <w:r w:rsidR="00C84C9C" w:rsidRPr="00F0151C">
        <w:rPr>
          <w:rFonts w:ascii="Arial" w:eastAsia="Andale Sans UI" w:hAnsi="Arial" w:cs="Arial"/>
          <w:color w:val="auto"/>
          <w:spacing w:val="-2"/>
          <w:lang w:eastAsia="ja-JP" w:bidi="fa-IR"/>
        </w:rPr>
        <w:t>ewidencyjny</w:t>
      </w:r>
      <w:r w:rsidRPr="00F0151C">
        <w:rPr>
          <w:rFonts w:ascii="Arial" w:eastAsia="Andale Sans UI" w:hAnsi="Arial" w:cs="Arial"/>
          <w:color w:val="auto"/>
          <w:spacing w:val="-2"/>
          <w:lang w:eastAsia="ja-JP" w:bidi="fa-IR"/>
        </w:rPr>
        <w:t>m</w:t>
      </w:r>
      <w:r w:rsidR="00C84C9C" w:rsidRPr="00F0151C">
        <w:rPr>
          <w:rFonts w:ascii="Arial" w:eastAsia="Andale Sans UI" w:hAnsi="Arial" w:cs="Arial"/>
          <w:color w:val="auto"/>
          <w:spacing w:val="-2"/>
          <w:lang w:eastAsia="ja-JP" w:bidi="fa-IR"/>
        </w:rPr>
        <w:t xml:space="preserve"> 446700280</w:t>
      </w:r>
    </w:p>
    <w:p w14:paraId="133C2455" w14:textId="698A19A1" w:rsidR="00C84C9C" w:rsidRPr="00F0151C" w:rsidRDefault="00C84C9C" w:rsidP="00C84C9C">
      <w:pPr>
        <w:widowControl w:val="0"/>
        <w:tabs>
          <w:tab w:val="left" w:pos="-8505"/>
          <w:tab w:val="left" w:pos="-2127"/>
        </w:tabs>
        <w:suppressAutoHyphens/>
        <w:spacing w:after="0" w:line="360" w:lineRule="auto"/>
        <w:contextualSpacing/>
        <w:jc w:val="both"/>
        <w:textAlignment w:val="baseline"/>
        <w:rPr>
          <w:rFonts w:ascii="Arial" w:eastAsia="Andale Sans UI" w:hAnsi="Arial" w:cs="Arial"/>
          <w:b/>
          <w:bCs/>
          <w:color w:val="auto"/>
          <w:spacing w:val="-2"/>
          <w:lang w:eastAsia="ja-JP" w:bidi="fa-IR"/>
        </w:rPr>
      </w:pPr>
      <w:r w:rsidRPr="00F0151C">
        <w:rPr>
          <w:rFonts w:ascii="Arial" w:eastAsia="Andale Sans UI" w:hAnsi="Arial" w:cs="Arial"/>
          <w:color w:val="auto"/>
          <w:spacing w:val="-2"/>
          <w:lang w:eastAsia="ja-JP" w:bidi="fa-IR"/>
        </w:rPr>
        <w:t xml:space="preserve">Umowa najmu lokalu użytkowego została zawarta 3.02.2014 r. na okres 5 lat od dnia </w:t>
      </w:r>
      <w:r w:rsidRPr="00F0151C">
        <w:rPr>
          <w:rFonts w:ascii="Arial" w:eastAsia="Andale Sans UI" w:hAnsi="Arial" w:cs="Arial"/>
          <w:color w:val="auto"/>
          <w:spacing w:val="-2"/>
          <w:lang w:eastAsia="ja-JP" w:bidi="fa-IR"/>
        </w:rPr>
        <w:lastRenderedPageBreak/>
        <w:t>1.02.2014</w:t>
      </w:r>
      <w:r w:rsidR="008C481C"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r. do 31.01.2019 r. Najemcy zaprzestali prowadzenia działalności i opuścili lokal.  Saldo zaległości na dzień 01.01.2022 r. stanowiła kwota 132 051,54 zł, w całości objęta sądowym nakazem zapłaty. Jak wynika z kartoteki konta ww. dłużnika w okresie od 1.01.2022</w:t>
      </w:r>
      <w:r w:rsidR="008C481C"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r. do 31.07.2023 r. na poczet zadłużenia nie została wpłacona żadna kwota. W dniu 3.01.2022 r. kancelaria prawnicza obsługująca MZBM wystosowała do komornika sądowego pismo w</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sprawie udzielenia informacji na temat aktualnego stanu postępowania. W odpowiedzi komornik przedłożył protokół z 20.01.2022 r. z rozmowy z osobami wchodzącymi w skład zarządu spółki z.o.o., będącej dłużnikiem, z którego wynika, że spółka z.o.o przez nich założona nie funkcjonuje od 2016 r., a dłużnicy nie posiadają żadnych źródeł z których można zaspokoić dług. W dniu 14.09.2022 r. komornik wydał postanowienie o umorzeniu postępowania wobec bezskutecznej egzekucji. Ponowny wniosek o wszczęcie egzekucji kancelaria prawnicza złożyła 4.07.2023 r. Na dzień 31.07.2023 r. zadłużenie wynosiło 149 711,68 zł z czego należność główna to 82 085,81 zł. Zgodnie z informacją zamieszczoną w KRS spółka z.o.o. nie została wykreślona z rejestru. </w:t>
      </w:r>
      <w:r w:rsidRPr="00F0151C">
        <w:rPr>
          <w:rFonts w:ascii="Arial" w:eastAsia="Andale Sans UI" w:hAnsi="Arial" w:cs="Arial"/>
          <w:b/>
          <w:bCs/>
          <w:color w:val="auto"/>
          <w:spacing w:val="-2"/>
          <w:lang w:eastAsia="ja-JP" w:bidi="fa-IR"/>
        </w:rPr>
        <w:t>Wobec tego, mając na uwadze zapisy procedury postępowania z dłużnikami należało podjąć czynności zmierzające do wpisania dłużnika do KRD. Jak wynika z wyjaśnień udzielonych kontrolującym takich czynności wobec dłużnika do dnia kontroli nie podjęto</w:t>
      </w:r>
      <w:r w:rsidR="00AD3264" w:rsidRPr="00F0151C">
        <w:rPr>
          <w:rFonts w:ascii="Arial" w:eastAsia="Andale Sans UI" w:hAnsi="Arial" w:cs="Arial"/>
          <w:b/>
          <w:bCs/>
          <w:color w:val="auto"/>
          <w:spacing w:val="-2"/>
          <w:lang w:eastAsia="ja-JP" w:bidi="fa-IR"/>
        </w:rPr>
        <w:t>.</w:t>
      </w:r>
    </w:p>
    <w:p w14:paraId="054A9870" w14:textId="48058A65" w:rsidR="00C84C9C" w:rsidRPr="00F0151C" w:rsidRDefault="00CE0E1D" w:rsidP="00326634">
      <w:pPr>
        <w:widowControl w:val="0"/>
        <w:numPr>
          <w:ilvl w:val="0"/>
          <w:numId w:val="45"/>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Dłużnik o n</w:t>
      </w:r>
      <w:r w:rsidR="00C84C9C" w:rsidRPr="00F0151C">
        <w:rPr>
          <w:rFonts w:ascii="Arial" w:eastAsia="Andale Sans UI" w:hAnsi="Arial" w:cs="Arial"/>
          <w:color w:val="auto"/>
          <w:spacing w:val="-2"/>
          <w:lang w:eastAsia="ja-JP" w:bidi="fa-IR"/>
        </w:rPr>
        <w:t>r ewidencyjny</w:t>
      </w:r>
      <w:r w:rsidRPr="00F0151C">
        <w:rPr>
          <w:rFonts w:ascii="Arial" w:eastAsia="Andale Sans UI" w:hAnsi="Arial" w:cs="Arial"/>
          <w:color w:val="auto"/>
          <w:spacing w:val="-2"/>
          <w:lang w:eastAsia="ja-JP" w:bidi="fa-IR"/>
        </w:rPr>
        <w:t>m</w:t>
      </w:r>
      <w:r w:rsidR="00C84C9C" w:rsidRPr="00F0151C">
        <w:rPr>
          <w:rFonts w:ascii="Arial" w:eastAsia="Andale Sans UI" w:hAnsi="Arial" w:cs="Arial"/>
          <w:color w:val="auto"/>
          <w:spacing w:val="-2"/>
          <w:lang w:eastAsia="ja-JP" w:bidi="fa-IR"/>
        </w:rPr>
        <w:t xml:space="preserve"> 900700328</w:t>
      </w:r>
    </w:p>
    <w:p w14:paraId="00A1A3C7" w14:textId="279711ED" w:rsidR="0006122F" w:rsidRPr="00F0151C" w:rsidRDefault="00C84C9C" w:rsidP="00C84C9C">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Umowa najmu lokalu użytkowego zawarta została 8.06.1999 r. na okres pięciu lat. Najemca zaprzestał prowadzenia działalności gospodarczej i opuścił lokal. Na dzień 31.01.2022 r. saldo zaległości wynosiło 270 511,01 zł. W dniu 9 czerwca 2022 r. pracownik MZBM wystosował pismo do kancelarii prawniczej celem podjęcia kolejnych działań egzekucyjnych. Następnie, kancelaria prawna 24.06.2022 r. wystosowała do komornika wniosek o wszczęcie egzekucji. W dniu 7.11.2022 r. komornik poinformował wierzyciela, że postępowanie egzekucyjne jest całkowicie bezskuteczne wobec faktu, że komornik nie ustalił majątku, z którego można prowadzić skuteczną egzekucję. Ponadto komornik wezwał wierzyciela do wskazania majątku dłużnika, z którego można zaspokoić dług w terminie 7 dni od daty doręczenia pisma pod rygorem umorzenia postępowania. W dokumentacji przedłożonej do kontroli nie odnotowano dalszych czynności dot. dochodzenia należności. Na dzień 31.07.2023 r. zadłużenie wynosiło 285 541,21 zł z czego należność główną stanowi kwota 75 896,12 zł. Z uwagi na fakt, iż wierzyciel nie był w stanie ustalić adresu dłużnika, nie było możliwości aby podjął czynności zmierzające do wpisania go do KRD,</w:t>
      </w:r>
    </w:p>
    <w:p w14:paraId="79A98204" w14:textId="329E8868" w:rsidR="00C84C9C" w:rsidRPr="00F0151C" w:rsidRDefault="00CE0E1D" w:rsidP="00326634">
      <w:pPr>
        <w:widowControl w:val="0"/>
        <w:numPr>
          <w:ilvl w:val="0"/>
          <w:numId w:val="45"/>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Dłużnik o n</w:t>
      </w:r>
      <w:r w:rsidR="00C84C9C" w:rsidRPr="00F0151C">
        <w:rPr>
          <w:rFonts w:ascii="Arial" w:eastAsia="Andale Sans UI" w:hAnsi="Arial" w:cs="Arial"/>
          <w:color w:val="auto"/>
          <w:spacing w:val="-2"/>
          <w:lang w:eastAsia="ja-JP" w:bidi="fa-IR"/>
        </w:rPr>
        <w:t>r ewidencyjny</w:t>
      </w:r>
      <w:r w:rsidRPr="00F0151C">
        <w:rPr>
          <w:rFonts w:ascii="Arial" w:eastAsia="Andale Sans UI" w:hAnsi="Arial" w:cs="Arial"/>
          <w:color w:val="auto"/>
          <w:spacing w:val="-2"/>
          <w:lang w:eastAsia="ja-JP" w:bidi="fa-IR"/>
        </w:rPr>
        <w:t>m</w:t>
      </w:r>
      <w:r w:rsidR="00C84C9C" w:rsidRPr="00F0151C">
        <w:rPr>
          <w:rFonts w:ascii="Arial" w:eastAsia="Andale Sans UI" w:hAnsi="Arial" w:cs="Arial"/>
          <w:color w:val="auto"/>
          <w:spacing w:val="-2"/>
          <w:lang w:eastAsia="ja-JP" w:bidi="fa-IR"/>
        </w:rPr>
        <w:t xml:space="preserve"> 319309039</w:t>
      </w:r>
    </w:p>
    <w:p w14:paraId="76EDDFB7" w14:textId="77777777" w:rsidR="00C84C9C" w:rsidRPr="00F0151C" w:rsidRDefault="00C84C9C" w:rsidP="00C84C9C">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Na dzień 1.01.2022 r. zadłużenie ww. osoby z tytułu nieuiszczania opłat za najem lokalów mieszkalnych wynosiło 107 635,56 zł. Cała zaległość objęta została sądowym nakazem zapłaty. W okresie objętym kontrolą nie wpłynęła żadna kwota na poczet zmniejszenia długu.  </w:t>
      </w:r>
      <w:r w:rsidRPr="00F0151C">
        <w:rPr>
          <w:rFonts w:ascii="Arial" w:eastAsia="Andale Sans UI" w:hAnsi="Arial" w:cs="Arial"/>
          <w:color w:val="auto"/>
          <w:spacing w:val="-2"/>
          <w:lang w:eastAsia="ja-JP" w:bidi="fa-IR"/>
        </w:rPr>
        <w:lastRenderedPageBreak/>
        <w:t>Dłużnik porzucił lokal socjalny, do którego został przeniesiony po eksmisji. Aktualny adres zamieszkania nie został skutecznie ustalony. W okresie objętym kontrolą w przedmiotowej sprawie wpłynęły dwa postanowienia od komornika sądowego z 24.01.2022 r.  o umorzeniu postępowania wobec bezskutecznej egzekucji. Jak wynika z dokumentacji przedłożonej do kontroli wobec dłużnika zastosowano  rozwiązanie przewidziane w procedurze tj. w dniu 30.06.2022 r. dłużnika zgłoszono do KRD Biura Informacji Gospodarczej.</w:t>
      </w:r>
    </w:p>
    <w:p w14:paraId="7917FD2A" w14:textId="77777777" w:rsidR="00EF08FC" w:rsidRPr="00EF08FC" w:rsidRDefault="00EF08FC" w:rsidP="00EF08FC">
      <w:pPr>
        <w:widowControl w:val="0"/>
        <w:numPr>
          <w:ilvl w:val="0"/>
          <w:numId w:val="59"/>
        </w:numPr>
        <w:tabs>
          <w:tab w:val="left" w:pos="-8505"/>
          <w:tab w:val="left" w:pos="-2127"/>
        </w:tabs>
        <w:suppressAutoHyphens/>
        <w:spacing w:after="0" w:line="360" w:lineRule="auto"/>
        <w:ind w:left="709" w:hanging="283"/>
        <w:jc w:val="both"/>
        <w:textAlignment w:val="baseline"/>
        <w:rPr>
          <w:rFonts w:ascii="Arial" w:eastAsia="Andale Sans UI" w:hAnsi="Arial" w:cs="Arial"/>
          <w:color w:val="auto"/>
          <w:spacing w:val="-2"/>
          <w:lang w:eastAsia="ja-JP" w:bidi="fa-IR"/>
        </w:rPr>
      </w:pPr>
      <w:bookmarkStart w:id="59" w:name="_Hlk146708712"/>
      <w:r w:rsidRPr="00EF08FC">
        <w:rPr>
          <w:rFonts w:ascii="Arial" w:eastAsia="Andale Sans UI" w:hAnsi="Arial" w:cs="Arial"/>
          <w:color w:val="auto"/>
          <w:spacing w:val="-2"/>
          <w:lang w:eastAsia="ja-JP" w:bidi="fa-IR"/>
        </w:rPr>
        <w:t xml:space="preserve">Dłużnik o nr ewidencyjnym nr </w:t>
      </w:r>
      <w:bookmarkEnd w:id="59"/>
      <w:r w:rsidRPr="00EF08FC">
        <w:rPr>
          <w:rFonts w:ascii="Arial" w:eastAsia="Andale Sans UI" w:hAnsi="Arial" w:cs="Arial"/>
          <w:color w:val="auto"/>
          <w:spacing w:val="-2"/>
          <w:lang w:eastAsia="ja-JP" w:bidi="fa-IR"/>
        </w:rPr>
        <w:t>950700336, 950700109, 9507001101</w:t>
      </w:r>
    </w:p>
    <w:p w14:paraId="285823E7" w14:textId="2E410A81" w:rsidR="00EF08FC" w:rsidRPr="00EF08FC" w:rsidRDefault="00EF08FC" w:rsidP="00EF08FC">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EF08FC">
        <w:rPr>
          <w:rFonts w:ascii="Arial" w:eastAsia="Andale Sans UI" w:hAnsi="Arial" w:cs="Arial"/>
          <w:color w:val="auto"/>
          <w:spacing w:val="-2"/>
          <w:lang w:eastAsia="ja-JP" w:bidi="fa-IR"/>
        </w:rPr>
        <w:t>Sp. z o.o. podpisała umowy na najem lokali użytkowych przy ul. Barona 30:  o pow. użytkowej 18,59 m² w dniu  29.09.2009 r. oraz dwóch lokali w kondygnacji podziemnej o powierzchni 9,96</w:t>
      </w:r>
      <w:r w:rsidR="00340D5F"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 xml:space="preserve">m² i 9,79 m² w dniu 15.10.2010 r.  </w:t>
      </w:r>
      <w:bookmarkStart w:id="60" w:name="_Hlk146709198"/>
      <w:r w:rsidRPr="00EF08FC">
        <w:rPr>
          <w:rFonts w:ascii="Arial" w:eastAsia="Andale Sans UI" w:hAnsi="Arial" w:cs="Arial"/>
          <w:color w:val="auto"/>
          <w:spacing w:val="-2"/>
          <w:lang w:eastAsia="ja-JP" w:bidi="fa-IR"/>
        </w:rPr>
        <w:t>Najemca nie wywiązywał się z warunków umowy</w:t>
      </w:r>
      <w:bookmarkEnd w:id="60"/>
      <w:r w:rsidRPr="00EF08FC">
        <w:rPr>
          <w:rFonts w:ascii="Arial" w:eastAsia="Andale Sans UI" w:hAnsi="Arial" w:cs="Arial"/>
          <w:color w:val="auto"/>
          <w:spacing w:val="-2"/>
          <w:lang w:eastAsia="ja-JP" w:bidi="fa-IR"/>
        </w:rPr>
        <w:t>. Po bezskutecznym upływie wyznaczonego terminu o wydanie lokalu Zakład 30.11.2012 r. rozwiązał umowę ze spółką bez okresu wypowiedzenia. Całość zadłużenia objęta została sądowymi nakazami zapłaty.  W okresie objętym kontrolą nie wpłynęła żadna kwota na poczet zadłużenia, a postępowanie egzekucyjne ze względu na bezskuteczność zostało przez komornika umorzone 11.12.2020 r. Zawiadomienie o umorzeniu postępowania jest ostatnim dokumentem w aktach dłużnika. Z informacji przekazanych przez komornika wynika, że w</w:t>
      </w:r>
      <w:r w:rsidR="00340D5F"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 xml:space="preserve">Urzędzie Skarbowym w Tychach nie odnotowano dokumentów wymiarowych za ostatnie 5 lat. Nie odnotowano jakiegokolwiek składnika majątku dłużnika, co do którego można byłoby przeprowadzić skuteczną egzekucję.  Z KRS wynika, że spółka została wyrejestrowana 31.08.2021 r. </w:t>
      </w:r>
      <w:r w:rsidRPr="00EF08FC">
        <w:rPr>
          <w:rFonts w:ascii="Arial" w:eastAsia="Andale Sans UI" w:hAnsi="Arial" w:cs="Arial"/>
          <w:b/>
          <w:bCs/>
          <w:color w:val="auto"/>
          <w:spacing w:val="-2"/>
          <w:lang w:eastAsia="ja-JP" w:bidi="fa-IR"/>
        </w:rPr>
        <w:t>Zakład nie podjął czynności zmierzających do przeniesienia odpowiedzialności na członków zarządu spółki</w:t>
      </w:r>
      <w:r w:rsidRPr="00EF08FC">
        <w:rPr>
          <w:rFonts w:ascii="Arial" w:eastAsia="Andale Sans UI" w:hAnsi="Arial" w:cs="Arial"/>
          <w:color w:val="auto"/>
          <w:spacing w:val="-2"/>
          <w:lang w:eastAsia="ja-JP" w:bidi="fa-IR"/>
        </w:rPr>
        <w:t>. Stan zadłużenia na  31.07.2023 r. wynosił 92 327,58 zł.</w:t>
      </w:r>
    </w:p>
    <w:p w14:paraId="58662145" w14:textId="77777777" w:rsidR="00EF08FC" w:rsidRPr="00EF08FC" w:rsidRDefault="00EF08FC" w:rsidP="00EF08FC">
      <w:pPr>
        <w:widowControl w:val="0"/>
        <w:numPr>
          <w:ilvl w:val="0"/>
          <w:numId w:val="61"/>
        </w:numPr>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bookmarkStart w:id="61" w:name="_Hlk146713644"/>
      <w:r w:rsidRPr="00EF08FC">
        <w:rPr>
          <w:rFonts w:ascii="Arial" w:eastAsia="Andale Sans UI" w:hAnsi="Arial" w:cs="Arial"/>
          <w:color w:val="auto"/>
          <w:spacing w:val="-2"/>
          <w:lang w:eastAsia="ja-JP" w:bidi="fa-IR"/>
        </w:rPr>
        <w:t>Dłużnik o nr ewidencyjnym 971700224</w:t>
      </w:r>
    </w:p>
    <w:p w14:paraId="6117316D" w14:textId="06DD698D" w:rsidR="00EF08FC" w:rsidRPr="00EF08FC" w:rsidRDefault="00EF08FC" w:rsidP="00EF08FC">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bookmarkStart w:id="62" w:name="_Hlk146713819"/>
      <w:bookmarkEnd w:id="61"/>
      <w:r w:rsidRPr="00EF08FC">
        <w:rPr>
          <w:rFonts w:ascii="Arial" w:eastAsia="Andale Sans UI" w:hAnsi="Arial" w:cs="Arial"/>
          <w:color w:val="auto"/>
          <w:spacing w:val="-2"/>
          <w:lang w:eastAsia="ja-JP" w:bidi="fa-IR"/>
        </w:rPr>
        <w:t>Najemca podpisał umowę na najem lokalu użytkowego przy ul. Filaretów 31  o pow. użytkowej 64,76 m² w dniu  29.12.2003 r. Najemca nie wywiązywał się z warunków umowy. Po bezskutecznym upływie wyznaczonego terminu o wydanie lokalu Zakład 30.11.2007 r. rozwiązał umowę z najemcą bez okresu wypowiedzenia. Całość zadłużenia objęta została sądowymi nakazami zapłaty. Stan zadłużenia na 1.01.2022 r. stanowił kwotę 144 968,19 zł. Dłużnik wystąpił jako zbywca lokalu w dniu 16.08.2016 r. Z informacji przekazanych przez komornika wynika, że nastąpił zbieg egzekucji na rzecz uprzywilejowanego wierzyciela, co stanowi przeszkodę w realizacji potrąceń z rachunków bankowych. W okresie objętym kontrolą nie wpłynęła żadna kwota na poczet zadłużenia, a postępowanie egzekucyjne ze względu na bezskuteczność zostało przez komornika umorzone we wrześniu 2021 r. Zawiadomienie o</w:t>
      </w:r>
      <w:r w:rsidR="00340D5F"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 xml:space="preserve">umorzeniu postępowania jest ostatnim dokumentem w aktach dłużnika. Z dokumentacji wynika, że  dłużnik pracuje w Niemczech. Zakładowi nie udało się jednak  ustalić adresu dłużnika, wobec tego uniemożliwiło to podjęcie czynności zmierzających do wpisania go do </w:t>
      </w:r>
      <w:r w:rsidRPr="00EF08FC">
        <w:rPr>
          <w:rFonts w:ascii="Arial" w:eastAsia="Andale Sans UI" w:hAnsi="Arial" w:cs="Arial"/>
          <w:color w:val="auto"/>
          <w:spacing w:val="-2"/>
          <w:lang w:eastAsia="ja-JP" w:bidi="fa-IR"/>
        </w:rPr>
        <w:lastRenderedPageBreak/>
        <w:t xml:space="preserve">Krajowego Rejestru Dłużników. Nie odnotowano jakiegokolwiek składnika majątku dłużnika, co do którego można byłoby przeprowadzić skuteczną egzekucję.  Stan zadłużenia na  31.07.2023 r. wynosił 157 005,71 zł w tym należność główna  62 894,60 zł. </w:t>
      </w:r>
    </w:p>
    <w:p w14:paraId="51D008E0" w14:textId="77777777" w:rsidR="00EF08FC" w:rsidRPr="00EF08FC" w:rsidRDefault="00EF08FC" w:rsidP="00EF08FC">
      <w:pPr>
        <w:widowControl w:val="0"/>
        <w:numPr>
          <w:ilvl w:val="0"/>
          <w:numId w:val="61"/>
        </w:numPr>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bookmarkStart w:id="63" w:name="_Hlk146788276"/>
      <w:bookmarkEnd w:id="62"/>
      <w:r w:rsidRPr="00EF08FC">
        <w:rPr>
          <w:rFonts w:ascii="Arial" w:eastAsia="Andale Sans UI" w:hAnsi="Arial" w:cs="Arial"/>
          <w:color w:val="auto"/>
          <w:spacing w:val="-2"/>
          <w:lang w:eastAsia="ja-JP" w:bidi="fa-IR"/>
        </w:rPr>
        <w:t>Dłużnik o nr ewidencyjnym 993300002, 993300005, 993300006</w:t>
      </w:r>
    </w:p>
    <w:p w14:paraId="5AAC9900" w14:textId="17CEC023" w:rsidR="00EF08FC" w:rsidRPr="00F0151C" w:rsidRDefault="00EF08FC" w:rsidP="00EF08FC">
      <w:pPr>
        <w:widowControl w:val="0"/>
        <w:tabs>
          <w:tab w:val="left" w:pos="-8505"/>
          <w:tab w:val="left" w:pos="-2127"/>
        </w:tabs>
        <w:suppressAutoHyphens/>
        <w:spacing w:after="0" w:line="360" w:lineRule="auto"/>
        <w:jc w:val="both"/>
        <w:textAlignment w:val="baseline"/>
        <w:rPr>
          <w:rFonts w:ascii="Arial" w:eastAsia="Andale Sans UI" w:hAnsi="Arial" w:cs="Arial"/>
          <w:b/>
          <w:bCs/>
          <w:color w:val="auto"/>
          <w:spacing w:val="-2"/>
          <w:lang w:eastAsia="ja-JP" w:bidi="fa-IR"/>
        </w:rPr>
      </w:pPr>
      <w:r w:rsidRPr="00EF08FC">
        <w:rPr>
          <w:rFonts w:ascii="Arial" w:eastAsia="Andale Sans UI" w:hAnsi="Arial" w:cs="Arial"/>
          <w:color w:val="auto"/>
          <w:spacing w:val="-2"/>
          <w:lang w:eastAsia="ja-JP" w:bidi="fa-IR"/>
        </w:rPr>
        <w:t>Najemca podpisał 23.03.2022 r.  umowę na dzierżawy gruntu o pow. 28,84 m² z</w:t>
      </w:r>
      <w:r w:rsidR="00340D5F"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przeznaczeniem na pochylnię dla wózków, schody związane z działalnością oraz element małej architektury. Najemca na dzień 1.01.2022 r. posiadał zadłużenie 1,40 zł. Najemca był zobowiązany do regulowanie zobowiązań kwartalnie. Zgodnie z zapisami umowy jeżeli umowa nie przewiduje inaczej wszelkie zawiadomienia lub informacje pomiędzy stronami będą dokonywane na piśmie i będą uważane za doręczone jeżeli zostały doręczone osobiście w</w:t>
      </w:r>
      <w:r w:rsidR="00340D5F"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formie elektronicznej (e-mail), pocztą  kurierską lub listem poleconym na adres podany w</w:t>
      </w:r>
      <w:r w:rsidR="00340D5F"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umowie. Wobec zaległości za pierwszy kwartał 2022 r. po dwóch kontaktach telefonicznych 21.03.2022 r., 17.05.2022 r. i wysłanym drogą mailową  wezwaniem do zapłaty 13.06.2022 r. dłużnik uregulował częściowo zaległość (pozostawiając zaległość w kwocie 11,60 zł). Również za II i  III kwartał 2022 r. dłużnik uregulował zobowiązanie dopiero po informacji telefonicznej</w:t>
      </w:r>
      <w:r w:rsidR="008C481C"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i</w:t>
      </w:r>
      <w:r w:rsidR="00340D5F"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wezwaniu wysłanym mailem. Zobowiązania za 2023 r. do dnia kontroli nie zostały uregulowane wobec powyższego stan zadłużenia najemcy na 31.07.2023 r. wynosił 1 321,12 zł w tym odsetki wysokości 63,67 zł. W 2023 r. wysłano mailem trzy wezwania tj.</w:t>
      </w:r>
      <w:r w:rsidR="008C481C"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22.02.2023 r, 24.04.2023 r., 22.05.2023 r. Pięciokrotnie kontaktowano się telefonicznie z</w:t>
      </w:r>
      <w:r w:rsidR="008C481C"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najemcą</w:t>
      </w:r>
      <w:r w:rsidR="00340D5F" w:rsidRPr="00F0151C">
        <w:rPr>
          <w:rFonts w:ascii="Arial" w:eastAsia="Andale Sans UI" w:hAnsi="Arial" w:cs="Arial"/>
          <w:color w:val="auto"/>
          <w:spacing w:val="-2"/>
          <w:lang w:eastAsia="ja-JP" w:bidi="fa-IR"/>
        </w:rPr>
        <w:t>,</w:t>
      </w:r>
      <w:r w:rsidRPr="00EF08FC">
        <w:rPr>
          <w:rFonts w:ascii="Arial" w:eastAsia="Andale Sans UI" w:hAnsi="Arial" w:cs="Arial"/>
          <w:color w:val="auto"/>
          <w:spacing w:val="-2"/>
          <w:lang w:eastAsia="ja-JP" w:bidi="fa-IR"/>
        </w:rPr>
        <w:t xml:space="preserve"> tj.</w:t>
      </w:r>
      <w:r w:rsidR="00340D5F"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27.03.2023 r., 6.07.2023 r., 21.07.2023 r., 4.08.2023 r. przy czym przy trzecim telefonie dłużnik zobowiązał się spłacić zadłużenie w sierpniu, a czwartego i piątego telefonu już nie odebrał. Wysłano również wezwanie do zapłaty pocztą tradycyjną  10.08.2023 r. i</w:t>
      </w:r>
      <w:r w:rsidR="008C481C" w:rsidRPr="00F0151C">
        <w:rPr>
          <w:rFonts w:ascii="Arial" w:eastAsia="Andale Sans UI" w:hAnsi="Arial" w:cs="Arial"/>
          <w:color w:val="auto"/>
          <w:spacing w:val="-2"/>
          <w:lang w:eastAsia="ja-JP" w:bidi="fa-IR"/>
        </w:rPr>
        <w:t> </w:t>
      </w:r>
      <w:r w:rsidRPr="00EF08FC">
        <w:rPr>
          <w:rFonts w:ascii="Arial" w:eastAsia="Andale Sans UI" w:hAnsi="Arial" w:cs="Arial"/>
          <w:color w:val="auto"/>
          <w:spacing w:val="-2"/>
          <w:lang w:eastAsia="ja-JP" w:bidi="fa-IR"/>
        </w:rPr>
        <w:t xml:space="preserve">18.08.2023 r. lecz wezwanie nie zostało podjęte w terminie. </w:t>
      </w:r>
      <w:r w:rsidRPr="00EF08FC">
        <w:rPr>
          <w:rFonts w:ascii="Arial" w:eastAsia="Andale Sans UI" w:hAnsi="Arial" w:cs="Arial"/>
          <w:b/>
          <w:bCs/>
          <w:color w:val="auto"/>
          <w:spacing w:val="-2"/>
          <w:lang w:eastAsia="ja-JP" w:bidi="fa-IR"/>
        </w:rPr>
        <w:t>Nie wpisano dłużnika do Krajowego Rejestru Długów, ani nie skierowano sprawy do kancelarii prawniczej zgodnie z trybem postępowania z dłużnikami.</w:t>
      </w:r>
      <w:bookmarkEnd w:id="63"/>
    </w:p>
    <w:p w14:paraId="1EAC70E2" w14:textId="6CD5A1C9" w:rsidR="00C84C9C" w:rsidRPr="00F0151C" w:rsidRDefault="00CE0E1D" w:rsidP="00EF08FC">
      <w:pPr>
        <w:pStyle w:val="Akapitzlist"/>
        <w:numPr>
          <w:ilvl w:val="0"/>
          <w:numId w:val="61"/>
        </w:numPr>
        <w:tabs>
          <w:tab w:val="left" w:pos="-8505"/>
          <w:tab w:val="left" w:pos="-2127"/>
        </w:tabs>
        <w:rPr>
          <w:rFonts w:ascii="Arial" w:hAnsi="Arial" w:cs="Arial"/>
          <w:b/>
          <w:bCs/>
          <w:color w:val="auto"/>
          <w:spacing w:val="-2"/>
          <w:sz w:val="22"/>
          <w:szCs w:val="22"/>
          <w:lang w:val="pl-PL"/>
        </w:rPr>
      </w:pPr>
      <w:r w:rsidRPr="00F0151C">
        <w:rPr>
          <w:rFonts w:ascii="Arial" w:hAnsi="Arial" w:cs="Arial"/>
          <w:color w:val="auto"/>
          <w:spacing w:val="-2"/>
          <w:sz w:val="22"/>
          <w:szCs w:val="22"/>
          <w:lang w:val="pl-PL"/>
        </w:rPr>
        <w:t xml:space="preserve">Dłużnik o nr </w:t>
      </w:r>
      <w:r w:rsidR="00C84C9C" w:rsidRPr="00F0151C">
        <w:rPr>
          <w:rFonts w:ascii="Arial" w:hAnsi="Arial" w:cs="Arial"/>
          <w:color w:val="auto"/>
          <w:spacing w:val="-2"/>
          <w:sz w:val="22"/>
          <w:szCs w:val="22"/>
          <w:lang w:val="pl-PL"/>
        </w:rPr>
        <w:t>ewidencyjny</w:t>
      </w:r>
      <w:r w:rsidRPr="00F0151C">
        <w:rPr>
          <w:rFonts w:ascii="Arial" w:hAnsi="Arial" w:cs="Arial"/>
          <w:color w:val="auto"/>
          <w:spacing w:val="-2"/>
          <w:sz w:val="22"/>
          <w:szCs w:val="22"/>
          <w:lang w:val="pl-PL"/>
        </w:rPr>
        <w:t>m</w:t>
      </w:r>
      <w:r w:rsidR="00C84C9C" w:rsidRPr="00F0151C">
        <w:rPr>
          <w:rFonts w:ascii="Arial" w:hAnsi="Arial" w:cs="Arial"/>
          <w:color w:val="auto"/>
          <w:spacing w:val="-2"/>
          <w:sz w:val="22"/>
          <w:szCs w:val="22"/>
          <w:lang w:val="pl-PL"/>
        </w:rPr>
        <w:t xml:space="preserve"> 160301772</w:t>
      </w:r>
    </w:p>
    <w:p w14:paraId="58735C40" w14:textId="2F9CB358" w:rsidR="00C84C9C" w:rsidRPr="00F0151C" w:rsidRDefault="00C84C9C" w:rsidP="00C84C9C">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Na dzień 1.01.2022 r. zadłużenie z tytułu nieregulowania opłat za najem lokali mieszkalnych wynosiło 124 309,31 zł i w całości objęte było sądowym nakazem zapłaty wobec dwóch dłużników. W dniu 26.01.2022 r. komornik sądowy wystosował zawiadomienie o stanie egzekucji zgodnie z którym, postępowanie uznano za całkowicie bezskuteczne z uwagi na fakt, że jeden z dłużników nie podejmuje korespondencji, a zgodnie z oświadczeniem jego matki nie mieszka pod adresem zamieszkania matki od 5 lat, mimo że w dalszym ciągu jest w nim zameldowany. Wobec powyższego, pismem 2.09.2022 r. komornik umorzył postępowanie egzekucyjne. Ponadto, pismem z 6.01.2023 r. komornik umorzył postępowanie z urzędu wobec drugiego dłużnika, który zmarł w 2021 r. W okresie objętym kontrolą nie wpłynęła żadna kwota na zmniejszenie zadłużenia. Na dzień 31.7.2023 r.  stan zadłużenia wynosił </w:t>
      </w:r>
      <w:r w:rsidRPr="00F0151C">
        <w:rPr>
          <w:rFonts w:ascii="Arial" w:eastAsia="Andale Sans UI" w:hAnsi="Arial" w:cs="Arial"/>
          <w:color w:val="auto"/>
          <w:spacing w:val="-2"/>
          <w:lang w:eastAsia="ja-JP" w:bidi="fa-IR"/>
        </w:rPr>
        <w:lastRenderedPageBreak/>
        <w:t>134 215,59</w:t>
      </w:r>
      <w:r w:rsidR="008C481C"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zł. Mając na uwadze, że adres zameldowania dłużnika od dłuższego czasu nie jest miejscem jego zamieszkania, a wierzycielowi nie udało się ustalić aktualnie miejsca zamieszkania, MZBM nie mógł podjąć czynności zmierzających do wpisania dłużnika do KRD.</w:t>
      </w:r>
    </w:p>
    <w:p w14:paraId="5CA6EE65" w14:textId="5B058397" w:rsidR="00C84C9C" w:rsidRPr="00F0151C" w:rsidRDefault="00CE0E1D" w:rsidP="00326634">
      <w:pPr>
        <w:widowControl w:val="0"/>
        <w:numPr>
          <w:ilvl w:val="0"/>
          <w:numId w:val="45"/>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Dłużnik o n</w:t>
      </w:r>
      <w:r w:rsidR="00C84C9C" w:rsidRPr="00F0151C">
        <w:rPr>
          <w:rFonts w:ascii="Arial" w:eastAsia="Andale Sans UI" w:hAnsi="Arial" w:cs="Arial"/>
          <w:color w:val="auto"/>
          <w:spacing w:val="-2"/>
          <w:lang w:eastAsia="ja-JP" w:bidi="fa-IR"/>
        </w:rPr>
        <w:t>r ewidencyjny</w:t>
      </w:r>
      <w:r w:rsidRPr="00F0151C">
        <w:rPr>
          <w:rFonts w:ascii="Arial" w:eastAsia="Andale Sans UI" w:hAnsi="Arial" w:cs="Arial"/>
          <w:color w:val="auto"/>
          <w:spacing w:val="-2"/>
          <w:lang w:eastAsia="ja-JP" w:bidi="fa-IR"/>
        </w:rPr>
        <w:t>m</w:t>
      </w:r>
      <w:r w:rsidR="00C84C9C" w:rsidRPr="00F0151C">
        <w:rPr>
          <w:rFonts w:ascii="Arial" w:eastAsia="Andale Sans UI" w:hAnsi="Arial" w:cs="Arial"/>
          <w:color w:val="auto"/>
          <w:spacing w:val="-2"/>
          <w:lang w:eastAsia="ja-JP" w:bidi="fa-IR"/>
        </w:rPr>
        <w:t xml:space="preserve"> 348302128</w:t>
      </w:r>
    </w:p>
    <w:p w14:paraId="0B148F28" w14:textId="6F7A2EA1" w:rsidR="00C84C9C" w:rsidRPr="00F0151C" w:rsidRDefault="00C84C9C" w:rsidP="00C84C9C">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Umowę najmu na lokal mieszkalny z dłużnikiem zawarto w 2000 r. Po latach nieregularnych wpłat zadłużenie na dzień 1.01.2022 r. wynosiło 11 770,03 zł. Z wyjaśnień udzielonych kontrolującym wynika, że dłużnik został eksmitowany z lokalu na którym powstało zadłużenie do lokalu socjalnego, po czym zawarto z dłużnikiem umowę o rozłożenie zaległości na raty. Warunkiem zawarcia umowy było m.in. opłacanie bieżących opłat czynszowych za zajmowany lokal, opłacanie comiesięcznych rat na poczet zadłużenia w wysokości 150 zł oraz dostarczania aktualnych zaświadczeń o dochodach co 6 miesięcy licząc od daty podpisania umowy. Jak wynika z kartoteki konta dłużnika w okresie objętym kontrolą wywiązywał się on z</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postanowień umowy dot. regularnego opłacania bieżących opłat czynszowych jak i</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comiesięcznego wpłacania rat na poczet zadłużenia. W dniu 11.08.2022 r. </w:t>
      </w:r>
      <w:r w:rsidR="00CE0E1D" w:rsidRPr="00F0151C">
        <w:rPr>
          <w:rFonts w:ascii="Arial" w:eastAsia="Andale Sans UI" w:hAnsi="Arial" w:cs="Arial"/>
          <w:color w:val="auto"/>
          <w:spacing w:val="-2"/>
          <w:lang w:eastAsia="ja-JP" w:bidi="fa-IR"/>
        </w:rPr>
        <w:t xml:space="preserve"> </w:t>
      </w:r>
      <w:r w:rsidRPr="00F0151C">
        <w:rPr>
          <w:rFonts w:ascii="Arial" w:eastAsia="Andale Sans UI" w:hAnsi="Arial" w:cs="Arial"/>
          <w:color w:val="auto"/>
          <w:spacing w:val="-2"/>
          <w:lang w:eastAsia="ja-JP" w:bidi="fa-IR"/>
        </w:rPr>
        <w:t>ROM III wystosował do dłużnika pismo o stawienie się w siedzibie ROM, w celu weryfikacji warunków finansowych oraz dostarczenia aktualnych zaświadczeń o dochodach zgodnie z obowiązującą umową.</w:t>
      </w:r>
      <w:r w:rsidRPr="00F0151C">
        <w:rPr>
          <w:rFonts w:ascii="Arial" w:eastAsia="Andale Sans UI" w:hAnsi="Arial" w:cs="Arial"/>
          <w:b/>
          <w:bCs/>
          <w:color w:val="auto"/>
          <w:spacing w:val="-2"/>
          <w:lang w:eastAsia="ja-JP" w:bidi="fa-IR"/>
        </w:rPr>
        <w:t xml:space="preserve"> Zaznaczyć należy, że korespondencję tą skierowano na adres, z którego dłużnik został wyeksmitowany w 2017 r. W międzyczasie zostały mu przydzielone dwa inne lokale znajdujące się w zasobach MZBM. Podobna sytuacja dotyczy pisma z 1.02.2023</w:t>
      </w:r>
      <w:r w:rsidR="008C481C" w:rsidRPr="00F0151C">
        <w:rPr>
          <w:rFonts w:ascii="Arial" w:eastAsia="Andale Sans UI" w:hAnsi="Arial" w:cs="Arial"/>
          <w:b/>
          <w:bCs/>
          <w:color w:val="auto"/>
          <w:spacing w:val="-2"/>
          <w:lang w:eastAsia="ja-JP" w:bidi="fa-IR"/>
        </w:rPr>
        <w:t> </w:t>
      </w:r>
      <w:r w:rsidRPr="00F0151C">
        <w:rPr>
          <w:rFonts w:ascii="Arial" w:eastAsia="Andale Sans UI" w:hAnsi="Arial" w:cs="Arial"/>
          <w:b/>
          <w:bCs/>
          <w:color w:val="auto"/>
          <w:spacing w:val="-2"/>
          <w:lang w:eastAsia="ja-JP" w:bidi="fa-IR"/>
        </w:rPr>
        <w:t>r., gdzie ponownie korespondencja kierowana jest na nieaktualny adres, pomimo, że dłużnik zajmuje inny lokal będący własnością MZBM. Wobec powyższego, korespondencja została zwrócona przez Pocztę z adnotacją „Adresat wyprowadził się”.</w:t>
      </w:r>
      <w:r w:rsidRPr="00F0151C">
        <w:rPr>
          <w:rFonts w:ascii="Arial" w:eastAsia="Andale Sans UI" w:hAnsi="Arial" w:cs="Arial"/>
          <w:color w:val="auto"/>
          <w:spacing w:val="-2"/>
          <w:lang w:eastAsia="ja-JP" w:bidi="fa-IR"/>
        </w:rPr>
        <w:t xml:space="preserve">  Na dzień 31.07.2023 r. saldo zadłużenia wynosiło 8 920,03 zł, co oznacza że w okresie objętym kontrolą dłużnik spłacił 2 850 zł. </w:t>
      </w:r>
    </w:p>
    <w:p w14:paraId="2EC4ABAD" w14:textId="2E5D4925" w:rsidR="00C84C9C" w:rsidRPr="00F0151C" w:rsidRDefault="00CE0E1D" w:rsidP="00326634">
      <w:pPr>
        <w:widowControl w:val="0"/>
        <w:numPr>
          <w:ilvl w:val="0"/>
          <w:numId w:val="45"/>
        </w:numPr>
        <w:tabs>
          <w:tab w:val="left" w:pos="-8505"/>
          <w:tab w:val="left" w:pos="-2127"/>
        </w:tabs>
        <w:suppressAutoHyphens/>
        <w:overflowPunct/>
        <w:spacing w:after="0" w:line="360" w:lineRule="auto"/>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Dłużnik o n</w:t>
      </w:r>
      <w:r w:rsidR="00C84C9C" w:rsidRPr="00F0151C">
        <w:rPr>
          <w:rFonts w:ascii="Arial" w:eastAsia="Andale Sans UI" w:hAnsi="Arial" w:cs="Arial"/>
          <w:color w:val="auto"/>
          <w:spacing w:val="-2"/>
          <w:lang w:eastAsia="ja-JP" w:bidi="fa-IR"/>
        </w:rPr>
        <w:t>r ewidencyjny</w:t>
      </w:r>
      <w:r w:rsidRPr="00F0151C">
        <w:rPr>
          <w:rFonts w:ascii="Arial" w:eastAsia="Andale Sans UI" w:hAnsi="Arial" w:cs="Arial"/>
          <w:color w:val="auto"/>
          <w:spacing w:val="-2"/>
          <w:lang w:eastAsia="ja-JP" w:bidi="fa-IR"/>
        </w:rPr>
        <w:t>m</w:t>
      </w:r>
      <w:r w:rsidR="00C84C9C" w:rsidRPr="00F0151C">
        <w:rPr>
          <w:rFonts w:ascii="Arial" w:eastAsia="Andale Sans UI" w:hAnsi="Arial" w:cs="Arial"/>
          <w:color w:val="auto"/>
          <w:spacing w:val="-2"/>
          <w:lang w:eastAsia="ja-JP" w:bidi="fa-IR"/>
        </w:rPr>
        <w:t xml:space="preserve"> 907101646</w:t>
      </w:r>
    </w:p>
    <w:p w14:paraId="51D1A3F5" w14:textId="045B496F" w:rsidR="00EF08FC" w:rsidRPr="00F0151C" w:rsidRDefault="00C84C9C" w:rsidP="00EF08FC">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Na dzień 1.01.2022</w:t>
      </w:r>
      <w:r w:rsidR="00CE0E1D" w:rsidRPr="00F0151C">
        <w:rPr>
          <w:rFonts w:ascii="Arial" w:eastAsia="Andale Sans UI" w:hAnsi="Arial" w:cs="Arial"/>
          <w:color w:val="auto"/>
          <w:spacing w:val="-2"/>
          <w:lang w:eastAsia="ja-JP" w:bidi="fa-IR"/>
        </w:rPr>
        <w:t xml:space="preserve"> </w:t>
      </w:r>
      <w:r w:rsidRPr="00F0151C">
        <w:rPr>
          <w:rFonts w:ascii="Arial" w:eastAsia="Andale Sans UI" w:hAnsi="Arial" w:cs="Arial"/>
          <w:color w:val="auto"/>
          <w:spacing w:val="-2"/>
          <w:lang w:eastAsia="ja-JP" w:bidi="fa-IR"/>
        </w:rPr>
        <w:t>r. saldo należności za</w:t>
      </w:r>
      <w:r w:rsidR="007057B0" w:rsidRPr="00F0151C">
        <w:rPr>
          <w:rFonts w:ascii="Arial" w:eastAsia="Andale Sans UI" w:hAnsi="Arial" w:cs="Arial"/>
          <w:color w:val="auto"/>
          <w:spacing w:val="-2"/>
          <w:lang w:eastAsia="ja-JP" w:bidi="fa-IR"/>
        </w:rPr>
        <w:t xml:space="preserve"> </w:t>
      </w:r>
      <w:r w:rsidRPr="00F0151C">
        <w:rPr>
          <w:rFonts w:ascii="Arial" w:eastAsia="Andale Sans UI" w:hAnsi="Arial" w:cs="Arial"/>
          <w:color w:val="auto"/>
          <w:spacing w:val="-2"/>
          <w:lang w:eastAsia="ja-JP" w:bidi="fa-IR"/>
        </w:rPr>
        <w:t>lokal socjalny zajmowany przez dłużnika wynosiło 6 792,91 zł. Ponadto, jak wynika z umowy w sprawie rozłożenia zaległości na raty z dnia 30.12.2022 r. ww. osoby posiadają również zadłużenie na innym lokalu mieszkalnym, które na dzień podpisania umowy wynosiło 69 794,02 zł. W umowie wskazano, że należności z obu lokali zostaną rozłożone na raty w wysokości 200 zł płatne do ostatniego dnia każdego miesiąca począwszy od grudnia 2022 r., przy czym ustalono również , że wpłaty w pierwszej kolejności będą rozliczane na poczet zadłużenia lokalu obecnie zajmowan</w:t>
      </w:r>
      <w:r w:rsidR="00533192" w:rsidRPr="00F0151C">
        <w:rPr>
          <w:rFonts w:ascii="Arial" w:eastAsia="Andale Sans UI" w:hAnsi="Arial" w:cs="Arial"/>
          <w:color w:val="auto"/>
          <w:spacing w:val="-2"/>
          <w:lang w:eastAsia="ja-JP" w:bidi="fa-IR"/>
        </w:rPr>
        <w:t>ego</w:t>
      </w:r>
      <w:r w:rsidRPr="00F0151C">
        <w:rPr>
          <w:rFonts w:ascii="Arial" w:eastAsia="Andale Sans UI" w:hAnsi="Arial" w:cs="Arial"/>
          <w:color w:val="auto"/>
          <w:spacing w:val="-2"/>
          <w:lang w:eastAsia="ja-JP" w:bidi="fa-IR"/>
        </w:rPr>
        <w:t xml:space="preserve"> przez dłużników. Jednocześnie, z uwagi na fakt, że dłużnicy w styczniu 2023 r. wpłacili 1 415 zł tytułem bieżących opłat oraz spłaty zadłużenia czasowo odstąpiono od wykonania wyroku o</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eksmisję z 2016 r. Weryfikacji poddano kartotekę konta dłużników, z której wynika, że od momentu podpisania umowy ratalnej tzn. od grudnia 2022 r. dłużnicy regularnie opłacają </w:t>
      </w:r>
      <w:r w:rsidRPr="00F0151C">
        <w:rPr>
          <w:rFonts w:ascii="Arial" w:eastAsia="Andale Sans UI" w:hAnsi="Arial" w:cs="Arial"/>
          <w:color w:val="auto"/>
          <w:spacing w:val="-2"/>
          <w:lang w:eastAsia="ja-JP" w:bidi="fa-IR"/>
        </w:rPr>
        <w:lastRenderedPageBreak/>
        <w:t>czynsz oraz regularnie wpłacają kwoty na poczet zadłużenia, przy czym są to kwoty większe niż ustalone w umowie 200 zł. Na dzień 31.07.2023 r. stan zadłużenia na lokalu</w:t>
      </w:r>
      <w:r w:rsidR="00F905F0" w:rsidRPr="00F0151C">
        <w:rPr>
          <w:rFonts w:ascii="Arial" w:eastAsia="Andale Sans UI" w:hAnsi="Arial" w:cs="Arial"/>
          <w:color w:val="auto"/>
          <w:spacing w:val="-2"/>
          <w:lang w:eastAsia="ja-JP" w:bidi="fa-IR"/>
        </w:rPr>
        <w:t>,</w:t>
      </w:r>
      <w:r w:rsidRPr="00F0151C">
        <w:rPr>
          <w:rFonts w:ascii="Arial" w:eastAsia="Andale Sans UI" w:hAnsi="Arial" w:cs="Arial"/>
          <w:color w:val="auto"/>
          <w:spacing w:val="-2"/>
          <w:lang w:eastAsia="ja-JP" w:bidi="fa-IR"/>
        </w:rPr>
        <w:t xml:space="preserve"> w którym mieszkają dłużnicy wynosił 2 216,78 zł.</w:t>
      </w:r>
    </w:p>
    <w:p w14:paraId="32A7B8FE" w14:textId="68EC71AB" w:rsidR="00264D15" w:rsidRPr="00F0151C" w:rsidRDefault="00CE0E1D" w:rsidP="00EF08FC">
      <w:pPr>
        <w:pStyle w:val="Akapitzlist"/>
        <w:numPr>
          <w:ilvl w:val="0"/>
          <w:numId w:val="45"/>
        </w:numPr>
        <w:tabs>
          <w:tab w:val="left" w:pos="-8505"/>
          <w:tab w:val="left" w:pos="-2127"/>
        </w:tabs>
        <w:rPr>
          <w:rFonts w:ascii="Arial" w:hAnsi="Arial" w:cs="Arial"/>
          <w:color w:val="auto"/>
          <w:spacing w:val="-2"/>
          <w:sz w:val="22"/>
          <w:szCs w:val="22"/>
          <w:lang w:val="pl-PL"/>
        </w:rPr>
      </w:pPr>
      <w:r w:rsidRPr="00F0151C">
        <w:rPr>
          <w:rFonts w:ascii="Arial" w:hAnsi="Arial" w:cs="Arial"/>
          <w:color w:val="auto"/>
          <w:spacing w:val="-2"/>
          <w:sz w:val="22"/>
          <w:szCs w:val="22"/>
          <w:lang w:val="pl-PL"/>
        </w:rPr>
        <w:t>Dłużnik o n</w:t>
      </w:r>
      <w:r w:rsidR="00264D15" w:rsidRPr="00F0151C">
        <w:rPr>
          <w:rFonts w:ascii="Arial" w:hAnsi="Arial" w:cs="Arial"/>
          <w:color w:val="auto"/>
          <w:spacing w:val="-2"/>
          <w:sz w:val="22"/>
          <w:szCs w:val="22"/>
          <w:lang w:val="pl-PL"/>
        </w:rPr>
        <w:t>r ewidencyjny</w:t>
      </w:r>
      <w:r w:rsidRPr="00F0151C">
        <w:rPr>
          <w:rFonts w:ascii="Arial" w:hAnsi="Arial" w:cs="Arial"/>
          <w:color w:val="auto"/>
          <w:spacing w:val="-2"/>
          <w:sz w:val="22"/>
          <w:szCs w:val="22"/>
          <w:lang w:val="pl-PL"/>
        </w:rPr>
        <w:t>m</w:t>
      </w:r>
      <w:r w:rsidR="00264D15" w:rsidRPr="00F0151C">
        <w:rPr>
          <w:rFonts w:ascii="Arial" w:hAnsi="Arial" w:cs="Arial"/>
          <w:color w:val="auto"/>
          <w:spacing w:val="-2"/>
          <w:sz w:val="22"/>
          <w:szCs w:val="22"/>
          <w:lang w:val="pl-PL"/>
        </w:rPr>
        <w:t xml:space="preserve"> 842102189, 513102287</w:t>
      </w:r>
    </w:p>
    <w:p w14:paraId="3117C255" w14:textId="40D71497" w:rsidR="00326634" w:rsidRPr="00F0151C" w:rsidRDefault="00264D15" w:rsidP="00264D15">
      <w:pPr>
        <w:widowControl w:val="0"/>
        <w:tabs>
          <w:tab w:val="left" w:pos="-8505"/>
          <w:tab w:val="left" w:pos="-2127"/>
        </w:tabs>
        <w:suppressAutoHyphens/>
        <w:overflowPunct/>
        <w:spacing w:after="0" w:line="360" w:lineRule="auto"/>
        <w:ind w:firstLine="364"/>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Umowa najmu mieszkalnego lokalu socjalnego została zawarta 5.06.2017 r. Na dzień 1.01.2022 r. zadłużenie ww. osoby z tytułu nieuiszczania opłat za najem lokalów mieszkalnych wynosiło 12 689,35 zł. Zgodnie z dokumentacją przedłożoną do kontroli 10.05.2022 r. z</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dłużnikiem podpisano umowę o rozłożenie na raty wierzytelności w łącznej kwocie 15 372,47</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zł na 76 rat w następujący sposób</w:t>
      </w:r>
      <w:r w:rsidR="00446FDE" w:rsidRPr="00F0151C">
        <w:rPr>
          <w:rFonts w:ascii="Arial" w:eastAsia="Andale Sans UI" w:hAnsi="Arial" w:cs="Arial"/>
          <w:color w:val="auto"/>
          <w:spacing w:val="-2"/>
          <w:lang w:eastAsia="ja-JP" w:bidi="fa-IR"/>
        </w:rPr>
        <w:t>:</w:t>
      </w:r>
      <w:r w:rsidRPr="00F0151C">
        <w:rPr>
          <w:rFonts w:ascii="Arial" w:eastAsia="Andale Sans UI" w:hAnsi="Arial" w:cs="Arial"/>
          <w:color w:val="auto"/>
          <w:spacing w:val="-2"/>
          <w:lang w:eastAsia="ja-JP" w:bidi="fa-IR"/>
        </w:rPr>
        <w:t xml:space="preserve"> 75 rat płatnych w kwocie 200 zł do ostatniego dnia każdego miesiąca począwszy od maja 2022 r. do lipca 2028 r., ostatnia rata, w kwocie 372,47 zł wraz z odsetkami ustawowymi  za opóźnienie od kosztów procesu, płatna do 31.08.2028 r. Następnie 8.09.2022 r. z dłużnikiem podpisano umowę najmu innego lokalu mieszkalnego. Warunkiem zawarcia umowy było m.in. opłacanie bieżących opłat czynszowych za zajmowany lokal, opłacanie comiesięcznych rat na poczet zadłużenia oraz dostarczania aktualnych zaświadczeń o dochodach co 6 miesięcy licząc od daty podpisania umowy. Jak wynika z kartoteki konta dłużnika w okresie objętym kontrolą wywiązywał się on z postanowień umowy dotyczących regularnego opłacania bieżących opłat czynszowych jak i comiesięcznego wpłacania rat na poczet zadłużenia. Na dzień 31.07.2023 r. saldo zadłużenia wynosiło 7 503,18 zł na wcześniej zajmowanym lokalu oraz nadpłata w kwocie 1,93 zł na obecnie zajmowanym lokalu.</w:t>
      </w:r>
    </w:p>
    <w:p w14:paraId="34508F14" w14:textId="0463DB3E" w:rsidR="00326634" w:rsidRPr="00F0151C" w:rsidRDefault="00326634" w:rsidP="00326634">
      <w:pPr>
        <w:numPr>
          <w:ilvl w:val="0"/>
          <w:numId w:val="61"/>
        </w:numPr>
        <w:overflowPunct/>
        <w:spacing w:after="0" w:line="360" w:lineRule="auto"/>
        <w:jc w:val="both"/>
        <w:rPr>
          <w:rFonts w:ascii="Arial" w:eastAsia="Calibri" w:hAnsi="Arial" w:cs="Arial"/>
          <w:color w:val="auto"/>
          <w:kern w:val="2"/>
          <w:lang w:eastAsia="en-US"/>
          <w14:ligatures w14:val="standardContextual"/>
        </w:rPr>
      </w:pPr>
      <w:r w:rsidRPr="00F0151C">
        <w:rPr>
          <w:rFonts w:ascii="Arial" w:eastAsia="Calibri" w:hAnsi="Arial" w:cs="Arial"/>
          <w:color w:val="auto"/>
          <w:kern w:val="2"/>
          <w:lang w:eastAsia="en-US"/>
          <w14:ligatures w14:val="standardContextual"/>
        </w:rPr>
        <w:t xml:space="preserve">Dłużnik o nr ewidencyjnym </w:t>
      </w:r>
      <w:r w:rsidRPr="00F0151C">
        <w:rPr>
          <w:rFonts w:ascii="Arial" w:eastAsia="Calibri" w:hAnsi="Arial" w:cs="Arial"/>
          <w:color w:val="auto"/>
          <w:lang w:eastAsia="en-US"/>
          <w14:ligatures w14:val="standardContextual"/>
        </w:rPr>
        <w:t>132300005, 261102244</w:t>
      </w:r>
    </w:p>
    <w:p w14:paraId="118DB58E" w14:textId="04067B8E" w:rsidR="00326634" w:rsidRPr="00F0151C" w:rsidRDefault="00326634" w:rsidP="00326634">
      <w:pPr>
        <w:overflowPunct/>
        <w:spacing w:after="0" w:line="360" w:lineRule="auto"/>
        <w:jc w:val="both"/>
        <w:rPr>
          <w:rFonts w:ascii="Arial" w:eastAsia="Calibri" w:hAnsi="Arial" w:cs="Arial"/>
          <w:color w:val="auto"/>
          <w:kern w:val="2"/>
          <w:lang w:eastAsia="en-US"/>
          <w14:ligatures w14:val="standardContextual"/>
        </w:rPr>
      </w:pPr>
      <w:bookmarkStart w:id="64" w:name="_Hlk146806930"/>
      <w:r w:rsidRPr="00F0151C">
        <w:rPr>
          <w:rFonts w:ascii="Arial" w:eastAsia="Calibri" w:hAnsi="Arial" w:cs="Arial"/>
          <w:color w:val="auto"/>
          <w:kern w:val="2"/>
          <w:lang w:eastAsia="en-US"/>
          <w14:ligatures w14:val="standardContextual"/>
        </w:rPr>
        <w:t>Najemca podpisał 6.08.2012 r.  umowę najmu lokalu mieszkalnego o pow. 24,46 m². W</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związku z zadłużeniem lokalu 9.09.2018 r. nastąpiła eksmisja do lokalu socjalnego. Najemca na dzień 1.01.2022 r. posiad</w:t>
      </w:r>
      <w:r w:rsidR="0012790E" w:rsidRPr="00F0151C">
        <w:rPr>
          <w:rFonts w:ascii="Arial" w:eastAsia="Calibri" w:hAnsi="Arial" w:cs="Arial"/>
          <w:color w:val="auto"/>
          <w:kern w:val="2"/>
          <w:lang w:eastAsia="en-US"/>
          <w14:ligatures w14:val="standardContextual"/>
        </w:rPr>
        <w:t>a</w:t>
      </w:r>
      <w:r w:rsidRPr="00F0151C">
        <w:rPr>
          <w:rFonts w:ascii="Arial" w:eastAsia="Calibri" w:hAnsi="Arial" w:cs="Arial"/>
          <w:color w:val="auto"/>
          <w:kern w:val="2"/>
          <w:lang w:eastAsia="en-US"/>
          <w14:ligatures w14:val="standardContextual"/>
        </w:rPr>
        <w:t>ł zadłużenie  z lokalu komunalnego 17 545,47 zł, a</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z</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lokalu socjalnego 3 296,30 zł. Całość zadłużenia objęta została sądowymi nakazami zapłaty. Z dokumentacji wynika (zawiadomienia wierzyciela o stanie egzekucji z</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10.11.2021</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r.), że egzekucja jest całkowicie bezskuteczna – pobierane świadczenie emerytalno-rentowe zajęto na zaspokojenie roszczeń alimentacyjnych.  Dłużnik został wpisany do Krajowego Rejestru Długów. Ostatnim dokumentem w aktach jest  pismo komornika sądowego  o</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przekazanie informacji dotyczącej majątku dłużnika lub opłaconego zlecenia poszukiwania majątku pod rygorem umorzenia postępowania. W okresie objętym kontrolą na zadłużenie z</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tytułu najmu lokalu komunalnego wpłynęła tylko jedna wpłata od komornika w kwocie 70,74</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zł. Na poczet zaległości i bieżących zobowiązań  za lokal socjalny w okresie objętym kontrolą wpływały wpłaty od dłużnika, co skutkowało na dzień 31.07.2023</w:t>
      </w:r>
      <w:r w:rsidR="008C481C"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 xml:space="preserve">r. spłatą zadłużenia na tym lokalu, a nawet powstaniem nadpłaty w kwocie 147,55 zł. Wydaje się zasadnym zaliczenie powstałej nadpłaty na poczet zadłużenia na </w:t>
      </w:r>
      <w:r w:rsidRPr="00F0151C">
        <w:rPr>
          <w:rFonts w:ascii="Arial" w:eastAsia="Calibri" w:hAnsi="Arial" w:cs="Arial"/>
          <w:color w:val="auto"/>
          <w:kern w:val="2"/>
          <w:lang w:eastAsia="en-US"/>
          <w14:ligatures w14:val="standardContextual"/>
        </w:rPr>
        <w:lastRenderedPageBreak/>
        <w:t>lokalu komunalny</w:t>
      </w:r>
      <w:r w:rsidR="008E471B" w:rsidRPr="00F0151C">
        <w:rPr>
          <w:rFonts w:ascii="Arial" w:eastAsia="Calibri" w:hAnsi="Arial" w:cs="Arial"/>
          <w:color w:val="auto"/>
          <w:kern w:val="2"/>
          <w:lang w:eastAsia="en-US"/>
          <w14:ligatures w14:val="standardContextual"/>
        </w:rPr>
        <w:t>m</w:t>
      </w:r>
      <w:r w:rsidRPr="00F0151C">
        <w:rPr>
          <w:rFonts w:ascii="Arial" w:eastAsia="Calibri" w:hAnsi="Arial" w:cs="Arial"/>
          <w:color w:val="auto"/>
          <w:kern w:val="2"/>
          <w:lang w:eastAsia="en-US"/>
          <w14:ligatures w14:val="standardContextual"/>
        </w:rPr>
        <w:t xml:space="preserve">, gdzie stan zadłużenia na  31.07.2023 r. wynosił 20 278,46 zł oraz podjęcia działań zmierzających do wyegzekwowanie od dłużnika dalszej sukcesywnej spłaty zaległości również na tym mieszkaniu np.  poprzez spłatę ratalną. </w:t>
      </w:r>
    </w:p>
    <w:bookmarkEnd w:id="64"/>
    <w:p w14:paraId="047AC069" w14:textId="59A26C16" w:rsidR="00326634" w:rsidRPr="00F0151C" w:rsidRDefault="00326634" w:rsidP="00326634">
      <w:pPr>
        <w:numPr>
          <w:ilvl w:val="0"/>
          <w:numId w:val="61"/>
        </w:numPr>
        <w:overflowPunct/>
        <w:spacing w:after="0" w:line="360" w:lineRule="auto"/>
        <w:jc w:val="both"/>
        <w:rPr>
          <w:rFonts w:ascii="Arial" w:eastAsia="Calibri" w:hAnsi="Arial" w:cs="Arial"/>
          <w:color w:val="auto"/>
          <w:kern w:val="2"/>
          <w:lang w:eastAsia="en-US"/>
          <w14:ligatures w14:val="standardContextual"/>
        </w:rPr>
      </w:pPr>
      <w:r w:rsidRPr="00F0151C">
        <w:rPr>
          <w:rFonts w:ascii="Arial" w:eastAsia="Calibri" w:hAnsi="Arial" w:cs="Arial"/>
          <w:color w:val="auto"/>
          <w:kern w:val="2"/>
          <w:lang w:eastAsia="en-US"/>
          <w14:ligatures w14:val="standardContextual"/>
        </w:rPr>
        <w:t xml:space="preserve">Dłużnik o nr ewidencyjnym </w:t>
      </w:r>
      <w:r w:rsidRPr="00F0151C">
        <w:rPr>
          <w:rFonts w:ascii="Arial" w:eastAsia="Calibri" w:hAnsi="Arial" w:cs="Arial"/>
          <w:color w:val="auto"/>
          <w:lang w:eastAsia="en-US"/>
          <w14:ligatures w14:val="standardContextual"/>
        </w:rPr>
        <w:t>167300009</w:t>
      </w:r>
    </w:p>
    <w:p w14:paraId="74343BFB" w14:textId="37A671E5" w:rsidR="00326634" w:rsidRPr="00F0151C" w:rsidRDefault="00326634" w:rsidP="00326634">
      <w:pPr>
        <w:overflowPunct/>
        <w:spacing w:after="0" w:line="360" w:lineRule="auto"/>
        <w:jc w:val="both"/>
        <w:rPr>
          <w:rFonts w:ascii="Arial" w:eastAsia="Calibri" w:hAnsi="Arial" w:cs="Arial"/>
          <w:color w:val="auto"/>
          <w:kern w:val="2"/>
          <w:lang w:eastAsia="en-US"/>
          <w14:ligatures w14:val="standardContextual"/>
        </w:rPr>
      </w:pPr>
      <w:r w:rsidRPr="00F0151C">
        <w:rPr>
          <w:rFonts w:ascii="Arial" w:eastAsia="Calibri" w:hAnsi="Arial" w:cs="Arial"/>
          <w:color w:val="auto"/>
          <w:kern w:val="2"/>
          <w:lang w:eastAsia="en-US"/>
          <w14:ligatures w14:val="standardContextual"/>
        </w:rPr>
        <w:t>Najemca  podpisał 18.11.2021 r.  umowę najmu lokalu użytkowego o pow. 338,62 m². Na dzień 1.01.2022 r. stan zadłużeni</w:t>
      </w:r>
      <w:r w:rsidR="0012790E" w:rsidRPr="00F0151C">
        <w:rPr>
          <w:rFonts w:ascii="Arial" w:eastAsia="Calibri" w:hAnsi="Arial" w:cs="Arial"/>
          <w:color w:val="auto"/>
          <w:kern w:val="2"/>
          <w:lang w:eastAsia="en-US"/>
          <w14:ligatures w14:val="standardContextual"/>
        </w:rPr>
        <w:t>a</w:t>
      </w:r>
      <w:r w:rsidRPr="00F0151C">
        <w:rPr>
          <w:rFonts w:ascii="Arial" w:eastAsia="Calibri" w:hAnsi="Arial" w:cs="Arial"/>
          <w:color w:val="auto"/>
          <w:kern w:val="2"/>
          <w:lang w:eastAsia="en-US"/>
          <w14:ligatures w14:val="standardContextual"/>
        </w:rPr>
        <w:t xml:space="preserve"> wynosił 36,70 zł. Wobec nieuregulowania zobowiązania za luty i marzec 2022 r. drogą mailow</w:t>
      </w:r>
      <w:r w:rsidR="00AD66B1" w:rsidRPr="00F0151C">
        <w:rPr>
          <w:rFonts w:ascii="Arial" w:eastAsia="Calibri" w:hAnsi="Arial" w:cs="Arial"/>
          <w:color w:val="auto"/>
          <w:kern w:val="2"/>
          <w:lang w:eastAsia="en-US"/>
          <w14:ligatures w14:val="standardContextual"/>
        </w:rPr>
        <w:t>ą</w:t>
      </w:r>
      <w:r w:rsidRPr="00F0151C">
        <w:rPr>
          <w:rFonts w:ascii="Arial" w:eastAsia="Calibri" w:hAnsi="Arial" w:cs="Arial"/>
          <w:color w:val="auto"/>
          <w:kern w:val="2"/>
          <w:lang w:eastAsia="en-US"/>
          <w14:ligatures w14:val="standardContextual"/>
        </w:rPr>
        <w:t xml:space="preserve"> wezwano najemcę do zapłaty 24.03.2022 r. i</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1.04.2022 r., a 6.04.2022 r. wezwanie wysłano pocztą tradycyjną.  Najemca 11.04.2022 r. złożył pismo o rozłożenie na raty ale ze względu na niedostarczenie wymaganych dokumentów wniosek został pozostawiony bez rozpatrzenia o czym powiadomiono dłużnika 28.04.2022 r. Pismem z 13.05.2022 r. wezwano najemcę do zapłaty zadłużenia</w:t>
      </w:r>
      <w:r w:rsidR="00AD66B1" w:rsidRPr="00F0151C">
        <w:rPr>
          <w:rFonts w:ascii="Arial" w:eastAsia="Calibri" w:hAnsi="Arial" w:cs="Arial"/>
          <w:color w:val="auto"/>
          <w:kern w:val="2"/>
          <w:lang w:eastAsia="en-US"/>
          <w14:ligatures w14:val="standardContextual"/>
        </w:rPr>
        <w:t>,</w:t>
      </w:r>
      <w:r w:rsidRPr="00F0151C">
        <w:rPr>
          <w:rFonts w:ascii="Arial" w:eastAsia="Calibri" w:hAnsi="Arial" w:cs="Arial"/>
          <w:color w:val="auto"/>
          <w:kern w:val="2"/>
          <w:lang w:eastAsia="en-US"/>
          <w14:ligatures w14:val="standardContextual"/>
        </w:rPr>
        <w:t xml:space="preserve"> tj. </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należności głównej  27 500,27 zł wraz z odsetkami od transakcji handlowych i kosztami odzyskania należności. W międzyczasie dłużnik dokonał cząstkowych wpłat w dniach 13 i</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27.04.2022 r. oraz 5.05.2022 r.  Skierowano 14.06.2022 r.  do kancelarii prawniczej prośbę o wszczęcie postępowania sądowego. Pozew o zapłatę znajdujący się w aktach sprawy datowany jest na 18.07.2022 r., a nakaz zapłaty w postępowaniu upominawczym  na  5.10.2022 r.  Dłużnik dokonywał dalszych wpłat w 2022 r. za najem z opóźnieniem</w:t>
      </w:r>
      <w:r w:rsidR="00AD66B1" w:rsidRPr="00F0151C">
        <w:rPr>
          <w:rFonts w:ascii="Arial" w:eastAsia="Calibri" w:hAnsi="Arial" w:cs="Arial"/>
          <w:color w:val="auto"/>
          <w:kern w:val="2"/>
          <w:lang w:eastAsia="en-US"/>
          <w14:ligatures w14:val="standardContextual"/>
        </w:rPr>
        <w:t>,</w:t>
      </w:r>
      <w:r w:rsidRPr="00F0151C">
        <w:rPr>
          <w:rFonts w:ascii="Arial" w:eastAsia="Calibri" w:hAnsi="Arial" w:cs="Arial"/>
          <w:color w:val="auto"/>
          <w:kern w:val="2"/>
          <w:lang w:eastAsia="en-US"/>
          <w14:ligatures w14:val="standardContextual"/>
        </w:rPr>
        <w:t xml:space="preserve"> tj. za maj w sierpniu, za czerwiec we wrześniu, za lipiec w październiku, za sierpień w listopadzie, za wrzesień w grudniu, pomimo to zakład w okresie tym nie wystosował wezwania do zapłaty. Dopiero 2.02.2023 r. wezwano najemcę do zapłaty zaległości w kwocie 31 471,35 zł wraz z</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dalszymi odsetkami. Dłużnik 23.06.2023 r</w:t>
      </w:r>
      <w:r w:rsidR="00CE0E1D" w:rsidRPr="00F0151C">
        <w:rPr>
          <w:rFonts w:ascii="Arial" w:eastAsia="Calibri" w:hAnsi="Arial" w:cs="Arial"/>
          <w:color w:val="auto"/>
          <w:kern w:val="2"/>
          <w:lang w:eastAsia="en-US"/>
          <w14:ligatures w14:val="standardContextual"/>
        </w:rPr>
        <w:t>.</w:t>
      </w:r>
      <w:r w:rsidRPr="00F0151C">
        <w:rPr>
          <w:rFonts w:ascii="Arial" w:eastAsia="Calibri" w:hAnsi="Arial" w:cs="Arial"/>
          <w:color w:val="auto"/>
          <w:kern w:val="2"/>
          <w:lang w:eastAsia="en-US"/>
          <w14:ligatures w14:val="standardContextual"/>
        </w:rPr>
        <w:t xml:space="preserve"> złożył pismo o rozłożenie na raty, w związku z</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którym 27.02.2023 r. wezwano go do dostarczenie wymaganych dokumentów. Po uzupełnieniu 10.03.2023 r. przez najemcę dokumentów i uzyskaniu zgody zastępcy prezydenta na rozłożenie zaległości na raty</w:t>
      </w:r>
      <w:r w:rsidR="00CE0E1D" w:rsidRPr="00F0151C">
        <w:rPr>
          <w:rFonts w:ascii="Arial" w:eastAsia="Calibri" w:hAnsi="Arial" w:cs="Arial"/>
          <w:color w:val="auto"/>
          <w:kern w:val="2"/>
          <w:lang w:eastAsia="en-US"/>
          <w14:ligatures w14:val="standardContextual"/>
        </w:rPr>
        <w:t>,</w:t>
      </w:r>
      <w:r w:rsidRPr="00F0151C">
        <w:rPr>
          <w:rFonts w:ascii="Arial" w:eastAsia="Calibri" w:hAnsi="Arial" w:cs="Arial"/>
          <w:color w:val="auto"/>
          <w:kern w:val="2"/>
          <w:lang w:eastAsia="en-US"/>
          <w14:ligatures w14:val="standardContextual"/>
        </w:rPr>
        <w:t xml:space="preserve"> zawarto 13.04.2023 r. umowę z dłużnikiem rozkładając jego zaległość w kwocie 37 880,34 zł na 76 rat. Do dnia kontroli dłużnik dotrzymywał warunków umowy ratalnej. </w:t>
      </w:r>
      <w:r w:rsidR="00AD66B1" w:rsidRPr="00F0151C">
        <w:rPr>
          <w:rFonts w:ascii="Arial" w:eastAsia="Calibri" w:hAnsi="Arial" w:cs="Arial"/>
          <w:color w:val="auto"/>
          <w:kern w:val="2"/>
          <w:lang w:eastAsia="en-US"/>
          <w14:ligatures w14:val="standardContextual"/>
        </w:rPr>
        <w:t>Weryfikacji poddano prawidłowość wyliczenia odsetek od transakcji handlowych od nieterminowych wpłat nie stwierdzając nieprawidłowości.</w:t>
      </w:r>
    </w:p>
    <w:p w14:paraId="12EE0319" w14:textId="5483347F" w:rsidR="00326634" w:rsidRPr="00F0151C" w:rsidRDefault="00326634" w:rsidP="00326634">
      <w:pPr>
        <w:numPr>
          <w:ilvl w:val="0"/>
          <w:numId w:val="61"/>
        </w:numPr>
        <w:overflowPunct/>
        <w:spacing w:after="0" w:line="360" w:lineRule="auto"/>
        <w:jc w:val="both"/>
        <w:rPr>
          <w:rFonts w:ascii="Arial" w:eastAsia="Calibri" w:hAnsi="Arial" w:cs="Arial"/>
          <w:color w:val="auto"/>
          <w:kern w:val="2"/>
          <w:lang w:eastAsia="en-US"/>
          <w14:ligatures w14:val="standardContextual"/>
        </w:rPr>
      </w:pPr>
      <w:r w:rsidRPr="00F0151C">
        <w:rPr>
          <w:rFonts w:ascii="Arial" w:eastAsia="Calibri" w:hAnsi="Arial" w:cs="Arial"/>
          <w:color w:val="auto"/>
          <w:kern w:val="2"/>
          <w:lang w:eastAsia="en-US"/>
          <w14:ligatures w14:val="standardContextual"/>
        </w:rPr>
        <w:t xml:space="preserve">Dłużnik o nr ewidencyjnym </w:t>
      </w:r>
      <w:r w:rsidRPr="00F0151C">
        <w:rPr>
          <w:rFonts w:ascii="Arial" w:eastAsia="Calibri" w:hAnsi="Arial" w:cs="Arial"/>
          <w:color w:val="auto"/>
          <w:lang w:eastAsia="en-US"/>
          <w14:ligatures w14:val="standardContextual"/>
        </w:rPr>
        <w:t>164300076</w:t>
      </w:r>
    </w:p>
    <w:p w14:paraId="4FF993BF" w14:textId="076C39FB" w:rsidR="00326634" w:rsidRPr="00F0151C" w:rsidRDefault="00326634" w:rsidP="00326634">
      <w:pPr>
        <w:overflowPunct/>
        <w:spacing w:after="0" w:line="360" w:lineRule="auto"/>
        <w:jc w:val="both"/>
        <w:rPr>
          <w:rFonts w:ascii="Arial" w:eastAsia="Calibri" w:hAnsi="Arial" w:cs="Arial"/>
          <w:color w:val="auto"/>
          <w:kern w:val="2"/>
          <w:lang w:eastAsia="en-US"/>
          <w14:ligatures w14:val="standardContextual"/>
        </w:rPr>
      </w:pPr>
      <w:r w:rsidRPr="00F0151C">
        <w:rPr>
          <w:rFonts w:ascii="Arial" w:eastAsia="Calibri" w:hAnsi="Arial" w:cs="Arial"/>
          <w:color w:val="auto"/>
          <w:kern w:val="2"/>
          <w:lang w:eastAsia="en-US"/>
          <w14:ligatures w14:val="standardContextual"/>
        </w:rPr>
        <w:t>Najemca podpisał 23.03.2011 r.  umowę najmu lokalu mieszkalnego o pow. 36,34 m². Na dzień 1.01.2022 r. posiad</w:t>
      </w:r>
      <w:r w:rsidR="008E471B" w:rsidRPr="00F0151C">
        <w:rPr>
          <w:rFonts w:ascii="Arial" w:eastAsia="Calibri" w:hAnsi="Arial" w:cs="Arial"/>
          <w:color w:val="auto"/>
          <w:kern w:val="2"/>
          <w:lang w:eastAsia="en-US"/>
          <w14:ligatures w14:val="standardContextual"/>
        </w:rPr>
        <w:t>a</w:t>
      </w:r>
      <w:r w:rsidRPr="00F0151C">
        <w:rPr>
          <w:rFonts w:ascii="Arial" w:eastAsia="Calibri" w:hAnsi="Arial" w:cs="Arial"/>
          <w:color w:val="auto"/>
          <w:kern w:val="2"/>
          <w:lang w:eastAsia="en-US"/>
          <w14:ligatures w14:val="standardContextual"/>
        </w:rPr>
        <w:t>ł zadłużenie  16 678,38 zł. Całość zadłużenia objęta została sądowymi nakazami zapłaty. Z informacji o stanie egzekucji z 11.01.2022 r. wynika</w:t>
      </w:r>
      <w:r w:rsidR="00340D5F" w:rsidRPr="00F0151C">
        <w:rPr>
          <w:rFonts w:ascii="Arial" w:eastAsia="Calibri" w:hAnsi="Arial" w:cs="Arial"/>
          <w:color w:val="auto"/>
          <w:kern w:val="2"/>
          <w:lang w:eastAsia="en-US"/>
          <w14:ligatures w14:val="standardContextual"/>
        </w:rPr>
        <w:t>,</w:t>
      </w:r>
      <w:r w:rsidRPr="00F0151C">
        <w:rPr>
          <w:rFonts w:ascii="Arial" w:eastAsia="Calibri" w:hAnsi="Arial" w:cs="Arial"/>
          <w:color w:val="auto"/>
          <w:kern w:val="2"/>
          <w:lang w:eastAsia="en-US"/>
          <w14:ligatures w14:val="standardContextual"/>
        </w:rPr>
        <w:t xml:space="preserve"> że nastąpił zbieg egzekucji m. in. z uprzywilejowanym Urzędem Skarbowym, a dłużnik przebywa w areszcie śledczym.  Dłużnik został wpisany do Krajowego Rejestru Długów. Stan zadłużenia na 31.07.2023 r. wynosił 17 707,89 zł w tym należność główna 7 177,43 zł. </w:t>
      </w:r>
    </w:p>
    <w:p w14:paraId="34A5F309" w14:textId="77777777" w:rsidR="00326634" w:rsidRPr="00F0151C" w:rsidRDefault="00326634" w:rsidP="00326634">
      <w:pPr>
        <w:numPr>
          <w:ilvl w:val="0"/>
          <w:numId w:val="61"/>
        </w:numPr>
        <w:overflowPunct/>
        <w:spacing w:after="0" w:line="360" w:lineRule="auto"/>
        <w:jc w:val="both"/>
        <w:rPr>
          <w:rFonts w:ascii="Arial" w:eastAsia="Calibri" w:hAnsi="Arial" w:cs="Arial"/>
          <w:color w:val="auto"/>
          <w:kern w:val="2"/>
          <w:lang w:eastAsia="en-US"/>
          <w14:ligatures w14:val="standardContextual"/>
        </w:rPr>
      </w:pPr>
      <w:bookmarkStart w:id="65" w:name="_Hlk147092886"/>
      <w:r w:rsidRPr="00F0151C">
        <w:rPr>
          <w:rFonts w:ascii="Arial" w:eastAsia="Calibri" w:hAnsi="Arial" w:cs="Arial"/>
          <w:color w:val="auto"/>
          <w:kern w:val="2"/>
          <w:lang w:eastAsia="en-US"/>
          <w14:ligatures w14:val="standardContextual"/>
        </w:rPr>
        <w:t>Dłużnik o nr ewidencyjnym nr 331309047</w:t>
      </w:r>
    </w:p>
    <w:bookmarkEnd w:id="65"/>
    <w:p w14:paraId="5D696248" w14:textId="2B8F24D3" w:rsidR="00326634" w:rsidRPr="00F0151C" w:rsidRDefault="00326634" w:rsidP="00326634">
      <w:pPr>
        <w:overflowPunct/>
        <w:spacing w:after="0" w:line="360" w:lineRule="auto"/>
        <w:jc w:val="both"/>
        <w:rPr>
          <w:rFonts w:ascii="Arial" w:eastAsia="Calibri" w:hAnsi="Arial" w:cs="Arial"/>
          <w:color w:val="auto"/>
          <w:kern w:val="2"/>
          <w:lang w:eastAsia="en-US"/>
          <w14:ligatures w14:val="standardContextual"/>
        </w:rPr>
      </w:pPr>
      <w:r w:rsidRPr="00F0151C">
        <w:rPr>
          <w:rFonts w:ascii="Arial" w:eastAsia="Calibri" w:hAnsi="Arial" w:cs="Arial"/>
          <w:color w:val="auto"/>
          <w:kern w:val="2"/>
          <w:lang w:eastAsia="en-US"/>
          <w14:ligatures w14:val="standardContextual"/>
        </w:rPr>
        <w:lastRenderedPageBreak/>
        <w:t>Najemca podpisał 6.07.1999 r.  umowę najmu lokalu mieszkalnego o pow. 55,38 m². Na dzień 1.01.2022 r. zadłużenie najemcy wynosiło 41 234,24 zł. Całość zadłużenia objęta została sądowymi nakazami zapłaty. Najemca został eksmitowany do lokalu socjalnego. W okresie objętym kontrolą na poczet zadłużenia wpłynęła kwota 481,41 zł. W aktach znajduje się postanowienie  z 15.04.2020 r. o umorzeniu  postępowania egzekucyjnego z uwagi na bezskuteczność. Kancelaria prawnicza 26.01.2023 r. ponownie wystosowała wniosek o</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wszczęcie egzekucji wobec dorosłych członków rodziny dłużnika, którzy zamieszkiwali w</w:t>
      </w:r>
      <w:r w:rsidR="00340D5F"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mieszkaniu na którym powstało zadłużenie. Dłużnik ani współmałżonek ani dorośli synowie  nie został wpisany do Krajowego Rejestru Długów. Stan zadłużenia na 31.07.2023 r. wynosił 46 884,76 zł</w:t>
      </w:r>
      <w:r w:rsidR="008E471B" w:rsidRPr="00F0151C">
        <w:rPr>
          <w:rFonts w:ascii="Arial" w:eastAsia="Calibri" w:hAnsi="Arial" w:cs="Arial"/>
          <w:color w:val="auto"/>
          <w:kern w:val="2"/>
          <w:lang w:eastAsia="en-US"/>
          <w14:ligatures w14:val="standardContextual"/>
        </w:rPr>
        <w:t>,</w:t>
      </w:r>
      <w:r w:rsidRPr="00F0151C">
        <w:rPr>
          <w:rFonts w:ascii="Arial" w:eastAsia="Calibri" w:hAnsi="Arial" w:cs="Arial"/>
          <w:color w:val="auto"/>
          <w:kern w:val="2"/>
          <w:lang w:eastAsia="en-US"/>
          <w14:ligatures w14:val="standardContextual"/>
        </w:rPr>
        <w:t xml:space="preserve"> w tym należność główna 28 401,68 zł. </w:t>
      </w:r>
    </w:p>
    <w:p w14:paraId="2EEC3EF9" w14:textId="77777777" w:rsidR="00326634" w:rsidRPr="00F0151C" w:rsidRDefault="00326634" w:rsidP="00326634">
      <w:pPr>
        <w:numPr>
          <w:ilvl w:val="0"/>
          <w:numId w:val="61"/>
        </w:numPr>
        <w:overflowPunct/>
        <w:spacing w:after="0" w:line="360" w:lineRule="auto"/>
        <w:jc w:val="both"/>
        <w:rPr>
          <w:rFonts w:ascii="Arial" w:eastAsia="Calibri" w:hAnsi="Arial" w:cs="Arial"/>
          <w:color w:val="auto"/>
          <w:kern w:val="2"/>
          <w:lang w:eastAsia="en-US"/>
          <w14:ligatures w14:val="standardContextual"/>
        </w:rPr>
      </w:pPr>
      <w:r w:rsidRPr="00F0151C">
        <w:rPr>
          <w:rFonts w:ascii="Arial" w:eastAsia="Calibri" w:hAnsi="Arial" w:cs="Arial"/>
          <w:color w:val="auto"/>
          <w:kern w:val="2"/>
          <w:lang w:eastAsia="en-US"/>
          <w14:ligatures w14:val="standardContextual"/>
        </w:rPr>
        <w:t xml:space="preserve">Dłużnik o nr ewidencyjnym nr 162309031, 035100998, 129200001,   </w:t>
      </w:r>
    </w:p>
    <w:p w14:paraId="23569C0B" w14:textId="7D22BF5E" w:rsidR="009A0D80" w:rsidRPr="00F0151C" w:rsidRDefault="00326634" w:rsidP="00326634">
      <w:pPr>
        <w:overflowPunct/>
        <w:spacing w:after="0" w:line="360" w:lineRule="auto"/>
        <w:jc w:val="both"/>
        <w:rPr>
          <w:rFonts w:ascii="Arial" w:eastAsia="Calibri" w:hAnsi="Arial" w:cs="Arial"/>
          <w:color w:val="auto"/>
          <w:kern w:val="2"/>
          <w:lang w:eastAsia="en-US"/>
          <w14:ligatures w14:val="standardContextual"/>
        </w:rPr>
      </w:pPr>
      <w:r w:rsidRPr="00F0151C">
        <w:rPr>
          <w:rFonts w:ascii="Arial" w:eastAsia="Calibri" w:hAnsi="Arial" w:cs="Arial"/>
          <w:color w:val="auto"/>
          <w:kern w:val="2"/>
          <w:lang w:eastAsia="en-US"/>
          <w14:ligatures w14:val="standardContextual"/>
        </w:rPr>
        <w:t>Dłużnik zajmował lokal mieszkalny o pow.  35,85 m² bez tytułu prawnego po zmarłej w 2000</w:t>
      </w:r>
      <w:r w:rsidR="008C481C"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r. babci.  Najemca w 2004 r.  został eksmitowany wraz z współmałżonkiem i dwójką dzieci do lokalu socjalnego, a następnie 2007 r. do kolejnego lokalu socjalnego. Na dzień 1.01.2022 r. zadłużenie najemcy na opuszczonym mieszkaniu do którego nie posiadał tytułu prawnego wynosiło 32 731,19 zł, na lokalu socjalnym 75 118,37 zł, a na obecnie zamieszkiwanym lokalu wynosiło 1 468,04 zł.  Całość zadłużenia objęta została sądowymi nakazami zapłaty poza kwotą 824,26 zł.  W okresie objętym kontrolą na poczet zadłużenia na lokalu zajmowanym bez tytułu prawnego nie wpłynęła żadna kwota, na poczet zadłużenia na  lokalu socjalnym wpłynęła  kwota 1 489,63 zł, a na obecnie zajmowanym lokalu uregulowano 10 194,44 zł. W aktach znajduje się zawiadomienie komornika sądowego o bezskuteczności egzekucji z  4.07.2020 r. oraz z 13.07.2023 r.</w:t>
      </w:r>
      <w:r w:rsidR="00AD66B1" w:rsidRPr="00F0151C">
        <w:rPr>
          <w:rFonts w:ascii="Arial" w:eastAsia="Calibri" w:hAnsi="Arial" w:cs="Arial"/>
          <w:color w:val="auto"/>
          <w:kern w:val="2"/>
          <w:lang w:eastAsia="en-US"/>
          <w14:ligatures w14:val="standardContextual"/>
        </w:rPr>
        <w:t>,</w:t>
      </w:r>
      <w:r w:rsidRPr="00F0151C">
        <w:rPr>
          <w:rFonts w:ascii="Arial" w:eastAsia="Calibri" w:hAnsi="Arial" w:cs="Arial"/>
          <w:color w:val="auto"/>
          <w:kern w:val="2"/>
          <w:lang w:eastAsia="en-US"/>
          <w14:ligatures w14:val="standardContextual"/>
        </w:rPr>
        <w:t xml:space="preserve"> z którego wynika że dłużnik figuruje w ZUS jako pracownik, prowadzonych jest przeciwko niemu 21  postępowań egzekucyjnych, zajęcie rachunków bankowych nie przyniosło oczekiwanych skutków. Dłużnik został wpisany do Krajowego Rejestru Długów. W okresie objętym kontrolą brak dokumentów</w:t>
      </w:r>
      <w:r w:rsidR="00AD66B1" w:rsidRPr="00F0151C">
        <w:rPr>
          <w:rFonts w:ascii="Arial" w:eastAsia="Calibri" w:hAnsi="Arial" w:cs="Arial"/>
          <w:color w:val="auto"/>
          <w:kern w:val="2"/>
          <w:lang w:eastAsia="en-US"/>
          <w14:ligatures w14:val="standardContextual"/>
        </w:rPr>
        <w:t>,</w:t>
      </w:r>
      <w:r w:rsidRPr="00F0151C">
        <w:rPr>
          <w:rFonts w:ascii="Arial" w:eastAsia="Calibri" w:hAnsi="Arial" w:cs="Arial"/>
          <w:color w:val="auto"/>
          <w:kern w:val="2"/>
          <w:lang w:eastAsia="en-US"/>
          <w14:ligatures w14:val="standardContextual"/>
        </w:rPr>
        <w:t xml:space="preserve"> z których wynikałoby, że zaległości dochodzone są również od współmałżonka.  Stan zadłużenia na 31.07.2023 r. na obu mieszkaniach wynosił 121 421,25 zł w tym należność główna 69 560,98</w:t>
      </w:r>
      <w:r w:rsidR="008C481C" w:rsidRPr="00F0151C">
        <w:rPr>
          <w:rFonts w:ascii="Arial" w:eastAsia="Calibri" w:hAnsi="Arial" w:cs="Arial"/>
          <w:color w:val="auto"/>
          <w:kern w:val="2"/>
          <w:lang w:eastAsia="en-US"/>
          <w14:ligatures w14:val="standardContextual"/>
        </w:rPr>
        <w:t> </w:t>
      </w:r>
      <w:r w:rsidRPr="00F0151C">
        <w:rPr>
          <w:rFonts w:ascii="Arial" w:eastAsia="Calibri" w:hAnsi="Arial" w:cs="Arial"/>
          <w:color w:val="auto"/>
          <w:kern w:val="2"/>
          <w:lang w:eastAsia="en-US"/>
          <w14:ligatures w14:val="standardContextual"/>
        </w:rPr>
        <w:t xml:space="preserve">zł. </w:t>
      </w:r>
    </w:p>
    <w:p w14:paraId="497974FD" w14:textId="1013637D" w:rsidR="008C481C" w:rsidRPr="00F0151C" w:rsidRDefault="009A0D80" w:rsidP="009A0D80">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ab/>
        <w:t>Zgodnie z przedłożonymi do kontroli sprawozdaniami w okresie objętym kontrolą dokonano następujących umorzeń:</w:t>
      </w:r>
    </w:p>
    <w:tbl>
      <w:tblPr>
        <w:tblStyle w:val="Tabela-Siatka7"/>
        <w:tblW w:w="0" w:type="auto"/>
        <w:tblLayout w:type="fixed"/>
        <w:tblLook w:val="04A0" w:firstRow="1" w:lastRow="0" w:firstColumn="1" w:lastColumn="0" w:noHBand="0" w:noVBand="1"/>
      </w:tblPr>
      <w:tblGrid>
        <w:gridCol w:w="1696"/>
        <w:gridCol w:w="1276"/>
        <w:gridCol w:w="1276"/>
        <w:gridCol w:w="1134"/>
        <w:gridCol w:w="1276"/>
        <w:gridCol w:w="1275"/>
        <w:gridCol w:w="1129"/>
      </w:tblGrid>
      <w:tr w:rsidR="00F0151C" w:rsidRPr="004F74DE" w14:paraId="2542097C" w14:textId="77777777" w:rsidTr="004F74DE">
        <w:trPr>
          <w:trHeight w:val="340"/>
        </w:trPr>
        <w:tc>
          <w:tcPr>
            <w:tcW w:w="9062" w:type="dxa"/>
            <w:gridSpan w:val="7"/>
            <w:shd w:val="clear" w:color="auto" w:fill="D9D9D9"/>
            <w:vAlign w:val="center"/>
          </w:tcPr>
          <w:p w14:paraId="795AA392" w14:textId="77777777" w:rsidR="009A0D80" w:rsidRPr="004F74DE" w:rsidRDefault="009A0D80" w:rsidP="004F74DE">
            <w:pPr>
              <w:widowControl w:val="0"/>
              <w:tabs>
                <w:tab w:val="left" w:pos="-8505"/>
                <w:tab w:val="left" w:pos="-2127"/>
              </w:tabs>
              <w:suppressAutoHyphens/>
              <w:spacing w:line="360" w:lineRule="auto"/>
              <w:jc w:val="center"/>
              <w:textAlignment w:val="baseline"/>
              <w:rPr>
                <w:rFonts w:ascii="Arial" w:eastAsia="Andale Sans UI" w:hAnsi="Arial" w:cs="Arial"/>
                <w:b/>
                <w:bCs/>
                <w:color w:val="auto"/>
                <w:spacing w:val="-2"/>
                <w:sz w:val="16"/>
                <w:szCs w:val="16"/>
                <w:lang w:eastAsia="ja-JP" w:bidi="fa-IR"/>
              </w:rPr>
            </w:pPr>
            <w:r w:rsidRPr="004F74DE">
              <w:rPr>
                <w:rFonts w:ascii="Arial" w:eastAsia="Andale Sans UI" w:hAnsi="Arial" w:cs="Arial"/>
                <w:b/>
                <w:bCs/>
                <w:color w:val="auto"/>
                <w:spacing w:val="-2"/>
                <w:sz w:val="16"/>
                <w:szCs w:val="16"/>
                <w:lang w:eastAsia="ja-JP" w:bidi="fa-IR"/>
              </w:rPr>
              <w:t xml:space="preserve">UMORZENIA </w:t>
            </w:r>
          </w:p>
        </w:tc>
      </w:tr>
      <w:tr w:rsidR="00F0151C" w:rsidRPr="004F74DE" w14:paraId="06A3AFC6" w14:textId="77777777" w:rsidTr="004F74DE">
        <w:trPr>
          <w:trHeight w:val="340"/>
        </w:trPr>
        <w:tc>
          <w:tcPr>
            <w:tcW w:w="1696" w:type="dxa"/>
            <w:vMerge w:val="restart"/>
            <w:shd w:val="clear" w:color="auto" w:fill="D9D9D9"/>
            <w:vAlign w:val="center"/>
          </w:tcPr>
          <w:p w14:paraId="71728DD2" w14:textId="77777777" w:rsidR="009A0D80" w:rsidRPr="004F74DE" w:rsidRDefault="009A0D80" w:rsidP="004F74DE">
            <w:pPr>
              <w:widowControl w:val="0"/>
              <w:tabs>
                <w:tab w:val="left" w:pos="-8505"/>
                <w:tab w:val="left" w:pos="-2127"/>
              </w:tabs>
              <w:suppressAutoHyphens/>
              <w:spacing w:line="360" w:lineRule="auto"/>
              <w:jc w:val="both"/>
              <w:textAlignment w:val="baseline"/>
              <w:rPr>
                <w:rFonts w:ascii="Arial" w:eastAsia="Andale Sans UI" w:hAnsi="Arial" w:cs="Arial"/>
                <w:color w:val="auto"/>
                <w:spacing w:val="-2"/>
                <w:sz w:val="16"/>
                <w:szCs w:val="16"/>
                <w:lang w:eastAsia="ja-JP" w:bidi="fa-IR"/>
              </w:rPr>
            </w:pPr>
          </w:p>
        </w:tc>
        <w:tc>
          <w:tcPr>
            <w:tcW w:w="3686" w:type="dxa"/>
            <w:gridSpan w:val="3"/>
            <w:shd w:val="clear" w:color="auto" w:fill="D9D9D9"/>
            <w:vAlign w:val="center"/>
          </w:tcPr>
          <w:p w14:paraId="52B79ED5" w14:textId="77777777" w:rsidR="009A0D80" w:rsidRPr="004F74DE" w:rsidRDefault="009A0D80" w:rsidP="004F74DE">
            <w:pPr>
              <w:widowControl w:val="0"/>
              <w:tabs>
                <w:tab w:val="left" w:pos="-8505"/>
                <w:tab w:val="left" w:pos="-2127"/>
              </w:tabs>
              <w:suppressAutoHyphens/>
              <w:spacing w:line="360" w:lineRule="auto"/>
              <w:jc w:val="center"/>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Kwota należności</w:t>
            </w:r>
          </w:p>
        </w:tc>
        <w:tc>
          <w:tcPr>
            <w:tcW w:w="3680" w:type="dxa"/>
            <w:gridSpan w:val="3"/>
            <w:shd w:val="clear" w:color="auto" w:fill="D9D9D9"/>
            <w:vAlign w:val="center"/>
          </w:tcPr>
          <w:p w14:paraId="695540CC" w14:textId="77777777" w:rsidR="009A0D80" w:rsidRPr="004F74DE" w:rsidRDefault="009A0D80" w:rsidP="004F74DE">
            <w:pPr>
              <w:widowControl w:val="0"/>
              <w:tabs>
                <w:tab w:val="left" w:pos="-8505"/>
                <w:tab w:val="left" w:pos="-2127"/>
              </w:tabs>
              <w:suppressAutoHyphens/>
              <w:spacing w:line="360" w:lineRule="auto"/>
              <w:jc w:val="center"/>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Kwota umorzona</w:t>
            </w:r>
          </w:p>
        </w:tc>
      </w:tr>
      <w:tr w:rsidR="00F0151C" w:rsidRPr="004F74DE" w14:paraId="315221D4" w14:textId="77777777" w:rsidTr="004F74DE">
        <w:trPr>
          <w:trHeight w:val="340"/>
        </w:trPr>
        <w:tc>
          <w:tcPr>
            <w:tcW w:w="1696" w:type="dxa"/>
            <w:vMerge/>
            <w:shd w:val="clear" w:color="auto" w:fill="D9D9D9"/>
            <w:vAlign w:val="center"/>
          </w:tcPr>
          <w:p w14:paraId="509AF45A" w14:textId="77777777" w:rsidR="009A0D80" w:rsidRPr="004F74DE" w:rsidRDefault="009A0D80" w:rsidP="004F74DE">
            <w:pPr>
              <w:widowControl w:val="0"/>
              <w:tabs>
                <w:tab w:val="left" w:pos="-8505"/>
                <w:tab w:val="left" w:pos="-2127"/>
              </w:tabs>
              <w:suppressAutoHyphens/>
              <w:spacing w:line="360" w:lineRule="auto"/>
              <w:jc w:val="both"/>
              <w:textAlignment w:val="baseline"/>
              <w:rPr>
                <w:rFonts w:ascii="Arial" w:eastAsia="Andale Sans UI" w:hAnsi="Arial" w:cs="Arial"/>
                <w:color w:val="auto"/>
                <w:spacing w:val="-2"/>
                <w:sz w:val="16"/>
                <w:szCs w:val="16"/>
                <w:lang w:eastAsia="ja-JP" w:bidi="fa-IR"/>
              </w:rPr>
            </w:pPr>
          </w:p>
        </w:tc>
        <w:tc>
          <w:tcPr>
            <w:tcW w:w="1276" w:type="dxa"/>
            <w:shd w:val="clear" w:color="auto" w:fill="D9D9D9"/>
            <w:vAlign w:val="center"/>
          </w:tcPr>
          <w:p w14:paraId="639D0E17" w14:textId="77777777" w:rsidR="009A0D80" w:rsidRPr="004F74DE" w:rsidRDefault="009A0D80" w:rsidP="004F74DE">
            <w:pPr>
              <w:widowControl w:val="0"/>
              <w:tabs>
                <w:tab w:val="left" w:pos="-8505"/>
                <w:tab w:val="left" w:pos="-2127"/>
              </w:tabs>
              <w:suppressAutoHyphens/>
              <w:spacing w:line="360" w:lineRule="auto"/>
              <w:jc w:val="both"/>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Osoby zmarłe</w:t>
            </w:r>
          </w:p>
        </w:tc>
        <w:tc>
          <w:tcPr>
            <w:tcW w:w="1276" w:type="dxa"/>
            <w:shd w:val="clear" w:color="auto" w:fill="D9D9D9"/>
            <w:vAlign w:val="center"/>
          </w:tcPr>
          <w:p w14:paraId="1B3269B1" w14:textId="77777777" w:rsidR="009A0D80" w:rsidRPr="004F74DE" w:rsidRDefault="009A0D80" w:rsidP="004F74DE">
            <w:pPr>
              <w:widowControl w:val="0"/>
              <w:tabs>
                <w:tab w:val="left" w:pos="-8505"/>
                <w:tab w:val="left" w:pos="-2127"/>
              </w:tabs>
              <w:suppressAutoHyphens/>
              <w:spacing w:line="360" w:lineRule="auto"/>
              <w:jc w:val="center"/>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Byli najemcy</w:t>
            </w:r>
          </w:p>
        </w:tc>
        <w:tc>
          <w:tcPr>
            <w:tcW w:w="1134" w:type="dxa"/>
            <w:shd w:val="clear" w:color="auto" w:fill="D9D9D9"/>
            <w:vAlign w:val="center"/>
          </w:tcPr>
          <w:p w14:paraId="780D5CE6" w14:textId="77777777" w:rsidR="009A0D80" w:rsidRPr="004F74DE" w:rsidRDefault="009A0D80" w:rsidP="004F74DE">
            <w:pPr>
              <w:widowControl w:val="0"/>
              <w:tabs>
                <w:tab w:val="left" w:pos="-8505"/>
                <w:tab w:val="left" w:pos="-2127"/>
              </w:tabs>
              <w:suppressAutoHyphens/>
              <w:spacing w:line="360" w:lineRule="auto"/>
              <w:jc w:val="center"/>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RAZEM</w:t>
            </w:r>
          </w:p>
        </w:tc>
        <w:tc>
          <w:tcPr>
            <w:tcW w:w="1276" w:type="dxa"/>
            <w:shd w:val="clear" w:color="auto" w:fill="D9D9D9"/>
            <w:vAlign w:val="center"/>
          </w:tcPr>
          <w:p w14:paraId="33B1ED33" w14:textId="77777777" w:rsidR="009A0D80" w:rsidRPr="004F74DE" w:rsidRDefault="009A0D80" w:rsidP="004F74DE">
            <w:pPr>
              <w:widowControl w:val="0"/>
              <w:tabs>
                <w:tab w:val="left" w:pos="-8505"/>
                <w:tab w:val="left" w:pos="-2127"/>
              </w:tabs>
              <w:suppressAutoHyphens/>
              <w:spacing w:line="360" w:lineRule="auto"/>
              <w:jc w:val="center"/>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Osoby zmarłe</w:t>
            </w:r>
          </w:p>
        </w:tc>
        <w:tc>
          <w:tcPr>
            <w:tcW w:w="1275" w:type="dxa"/>
            <w:shd w:val="clear" w:color="auto" w:fill="D9D9D9"/>
            <w:vAlign w:val="center"/>
          </w:tcPr>
          <w:p w14:paraId="4BE58AEE" w14:textId="77777777" w:rsidR="009A0D80" w:rsidRPr="004F74DE" w:rsidRDefault="009A0D80" w:rsidP="004F74DE">
            <w:pPr>
              <w:widowControl w:val="0"/>
              <w:tabs>
                <w:tab w:val="left" w:pos="-8505"/>
                <w:tab w:val="left" w:pos="-2127"/>
              </w:tabs>
              <w:suppressAutoHyphens/>
              <w:spacing w:line="360" w:lineRule="auto"/>
              <w:jc w:val="center"/>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Byli najemcy</w:t>
            </w:r>
          </w:p>
        </w:tc>
        <w:tc>
          <w:tcPr>
            <w:tcW w:w="1129" w:type="dxa"/>
            <w:shd w:val="clear" w:color="auto" w:fill="D9D9D9"/>
            <w:vAlign w:val="center"/>
          </w:tcPr>
          <w:p w14:paraId="400F984A" w14:textId="77777777" w:rsidR="009A0D80" w:rsidRPr="004F74DE" w:rsidRDefault="009A0D80" w:rsidP="004F74DE">
            <w:pPr>
              <w:widowControl w:val="0"/>
              <w:tabs>
                <w:tab w:val="left" w:pos="-8505"/>
                <w:tab w:val="left" w:pos="-2127"/>
              </w:tabs>
              <w:suppressAutoHyphens/>
              <w:spacing w:line="360" w:lineRule="auto"/>
              <w:jc w:val="both"/>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RAZEM</w:t>
            </w:r>
          </w:p>
        </w:tc>
      </w:tr>
      <w:tr w:rsidR="00F0151C" w:rsidRPr="004F74DE" w14:paraId="1303C33F" w14:textId="77777777" w:rsidTr="004F74DE">
        <w:trPr>
          <w:trHeight w:val="340"/>
        </w:trPr>
        <w:tc>
          <w:tcPr>
            <w:tcW w:w="1696" w:type="dxa"/>
            <w:shd w:val="clear" w:color="auto" w:fill="D9D9D9"/>
            <w:vAlign w:val="center"/>
          </w:tcPr>
          <w:p w14:paraId="36E89EC7" w14:textId="77777777" w:rsidR="009A0D80" w:rsidRPr="004F74DE" w:rsidRDefault="009A0D80" w:rsidP="004F74DE">
            <w:pPr>
              <w:widowControl w:val="0"/>
              <w:tabs>
                <w:tab w:val="left" w:pos="-8505"/>
                <w:tab w:val="left" w:pos="-2127"/>
              </w:tabs>
              <w:suppressAutoHyphens/>
              <w:spacing w:line="360" w:lineRule="auto"/>
              <w:jc w:val="both"/>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I półrocze 2022 r.</w:t>
            </w:r>
          </w:p>
        </w:tc>
        <w:tc>
          <w:tcPr>
            <w:tcW w:w="1276" w:type="dxa"/>
            <w:vAlign w:val="center"/>
          </w:tcPr>
          <w:p w14:paraId="15200D31"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107 974,94</w:t>
            </w:r>
          </w:p>
        </w:tc>
        <w:tc>
          <w:tcPr>
            <w:tcW w:w="1276" w:type="dxa"/>
            <w:vAlign w:val="center"/>
          </w:tcPr>
          <w:p w14:paraId="09A6BC90"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354 584,53</w:t>
            </w:r>
          </w:p>
        </w:tc>
        <w:tc>
          <w:tcPr>
            <w:tcW w:w="1134" w:type="dxa"/>
            <w:shd w:val="clear" w:color="auto" w:fill="D9D9D9"/>
            <w:vAlign w:val="center"/>
          </w:tcPr>
          <w:p w14:paraId="5C9C96C9"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b/>
                <w:bCs/>
                <w:color w:val="auto"/>
                <w:spacing w:val="-2"/>
                <w:sz w:val="16"/>
                <w:szCs w:val="16"/>
                <w:lang w:eastAsia="ja-JP" w:bidi="fa-IR"/>
              </w:rPr>
            </w:pPr>
            <w:r w:rsidRPr="004F74DE">
              <w:rPr>
                <w:rFonts w:ascii="Arial" w:eastAsia="Andale Sans UI" w:hAnsi="Arial" w:cs="Arial"/>
                <w:b/>
                <w:bCs/>
                <w:color w:val="auto"/>
                <w:spacing w:val="-2"/>
                <w:sz w:val="16"/>
                <w:szCs w:val="16"/>
                <w:lang w:eastAsia="ja-JP" w:bidi="fa-IR"/>
              </w:rPr>
              <w:t>462 559,47</w:t>
            </w:r>
          </w:p>
        </w:tc>
        <w:tc>
          <w:tcPr>
            <w:tcW w:w="1276" w:type="dxa"/>
            <w:vAlign w:val="center"/>
          </w:tcPr>
          <w:p w14:paraId="7E5178E1"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92 934,10</w:t>
            </w:r>
          </w:p>
        </w:tc>
        <w:tc>
          <w:tcPr>
            <w:tcW w:w="1275" w:type="dxa"/>
            <w:vAlign w:val="center"/>
          </w:tcPr>
          <w:p w14:paraId="1697441B"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309 366,05</w:t>
            </w:r>
          </w:p>
        </w:tc>
        <w:tc>
          <w:tcPr>
            <w:tcW w:w="1129" w:type="dxa"/>
            <w:shd w:val="clear" w:color="auto" w:fill="D9D9D9"/>
            <w:vAlign w:val="center"/>
          </w:tcPr>
          <w:p w14:paraId="441C76BB"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b/>
                <w:bCs/>
                <w:color w:val="auto"/>
                <w:spacing w:val="-2"/>
                <w:sz w:val="16"/>
                <w:szCs w:val="16"/>
                <w:lang w:eastAsia="ja-JP" w:bidi="fa-IR"/>
              </w:rPr>
            </w:pPr>
            <w:r w:rsidRPr="004F74DE">
              <w:rPr>
                <w:rFonts w:ascii="Arial" w:eastAsia="Andale Sans UI" w:hAnsi="Arial" w:cs="Arial"/>
                <w:b/>
                <w:bCs/>
                <w:color w:val="auto"/>
                <w:spacing w:val="-2"/>
                <w:sz w:val="16"/>
                <w:szCs w:val="16"/>
                <w:lang w:eastAsia="ja-JP" w:bidi="fa-IR"/>
              </w:rPr>
              <w:t>402 300,15</w:t>
            </w:r>
          </w:p>
        </w:tc>
      </w:tr>
      <w:tr w:rsidR="00F0151C" w:rsidRPr="004F74DE" w14:paraId="78788CB4" w14:textId="77777777" w:rsidTr="004F74DE">
        <w:trPr>
          <w:trHeight w:val="340"/>
        </w:trPr>
        <w:tc>
          <w:tcPr>
            <w:tcW w:w="1696" w:type="dxa"/>
            <w:shd w:val="clear" w:color="auto" w:fill="D9D9D9"/>
            <w:vAlign w:val="center"/>
          </w:tcPr>
          <w:p w14:paraId="1265FD2A" w14:textId="77777777" w:rsidR="009A0D80" w:rsidRPr="004F74DE" w:rsidRDefault="009A0D80" w:rsidP="004F74DE">
            <w:pPr>
              <w:widowControl w:val="0"/>
              <w:tabs>
                <w:tab w:val="left" w:pos="-8505"/>
                <w:tab w:val="left" w:pos="-2127"/>
              </w:tabs>
              <w:suppressAutoHyphens/>
              <w:spacing w:line="360" w:lineRule="auto"/>
              <w:jc w:val="both"/>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II półrocze 2022 r.</w:t>
            </w:r>
          </w:p>
        </w:tc>
        <w:tc>
          <w:tcPr>
            <w:tcW w:w="1276" w:type="dxa"/>
            <w:vAlign w:val="center"/>
          </w:tcPr>
          <w:p w14:paraId="6DADED5A"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156 130,23</w:t>
            </w:r>
          </w:p>
        </w:tc>
        <w:tc>
          <w:tcPr>
            <w:tcW w:w="1276" w:type="dxa"/>
            <w:vAlign w:val="center"/>
          </w:tcPr>
          <w:p w14:paraId="44777F45"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143 710,39</w:t>
            </w:r>
          </w:p>
        </w:tc>
        <w:tc>
          <w:tcPr>
            <w:tcW w:w="1134" w:type="dxa"/>
            <w:shd w:val="clear" w:color="auto" w:fill="D9D9D9"/>
            <w:vAlign w:val="center"/>
          </w:tcPr>
          <w:p w14:paraId="375A515C"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b/>
                <w:bCs/>
                <w:color w:val="auto"/>
                <w:spacing w:val="-2"/>
                <w:sz w:val="16"/>
                <w:szCs w:val="16"/>
                <w:lang w:eastAsia="ja-JP" w:bidi="fa-IR"/>
              </w:rPr>
            </w:pPr>
            <w:r w:rsidRPr="004F74DE">
              <w:rPr>
                <w:rFonts w:ascii="Arial" w:eastAsia="Andale Sans UI" w:hAnsi="Arial" w:cs="Arial"/>
                <w:b/>
                <w:bCs/>
                <w:color w:val="auto"/>
                <w:spacing w:val="-2"/>
                <w:sz w:val="16"/>
                <w:szCs w:val="16"/>
                <w:lang w:eastAsia="ja-JP" w:bidi="fa-IR"/>
              </w:rPr>
              <w:t>299 840,62</w:t>
            </w:r>
          </w:p>
        </w:tc>
        <w:tc>
          <w:tcPr>
            <w:tcW w:w="1276" w:type="dxa"/>
            <w:vAlign w:val="center"/>
          </w:tcPr>
          <w:p w14:paraId="1EF0015A"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99 900,40</w:t>
            </w:r>
          </w:p>
        </w:tc>
        <w:tc>
          <w:tcPr>
            <w:tcW w:w="1275" w:type="dxa"/>
            <w:vAlign w:val="center"/>
          </w:tcPr>
          <w:p w14:paraId="7870A5BF"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81 112,39</w:t>
            </w:r>
          </w:p>
        </w:tc>
        <w:tc>
          <w:tcPr>
            <w:tcW w:w="1129" w:type="dxa"/>
            <w:shd w:val="clear" w:color="auto" w:fill="D9D9D9"/>
            <w:vAlign w:val="center"/>
          </w:tcPr>
          <w:p w14:paraId="1493783E"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b/>
                <w:bCs/>
                <w:color w:val="auto"/>
                <w:spacing w:val="-2"/>
                <w:sz w:val="16"/>
                <w:szCs w:val="16"/>
                <w:lang w:eastAsia="ja-JP" w:bidi="fa-IR"/>
              </w:rPr>
            </w:pPr>
            <w:r w:rsidRPr="004F74DE">
              <w:rPr>
                <w:rFonts w:ascii="Arial" w:eastAsia="Andale Sans UI" w:hAnsi="Arial" w:cs="Arial"/>
                <w:b/>
                <w:bCs/>
                <w:color w:val="auto"/>
                <w:spacing w:val="-2"/>
                <w:sz w:val="16"/>
                <w:szCs w:val="16"/>
                <w:lang w:eastAsia="ja-JP" w:bidi="fa-IR"/>
              </w:rPr>
              <w:t>181 012,79</w:t>
            </w:r>
          </w:p>
        </w:tc>
      </w:tr>
      <w:tr w:rsidR="00F0151C" w:rsidRPr="004F74DE" w14:paraId="50294ABE" w14:textId="77777777" w:rsidTr="004F74DE">
        <w:trPr>
          <w:trHeight w:val="340"/>
        </w:trPr>
        <w:tc>
          <w:tcPr>
            <w:tcW w:w="1696" w:type="dxa"/>
            <w:shd w:val="clear" w:color="auto" w:fill="D9D9D9"/>
            <w:vAlign w:val="center"/>
          </w:tcPr>
          <w:p w14:paraId="43BADFB5" w14:textId="77777777" w:rsidR="009A0D80" w:rsidRPr="004F74DE" w:rsidRDefault="009A0D80" w:rsidP="004F74DE">
            <w:pPr>
              <w:widowControl w:val="0"/>
              <w:tabs>
                <w:tab w:val="left" w:pos="-8505"/>
                <w:tab w:val="left" w:pos="-2127"/>
              </w:tabs>
              <w:suppressAutoHyphens/>
              <w:spacing w:line="360" w:lineRule="auto"/>
              <w:jc w:val="both"/>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I półrocze 2023 r.</w:t>
            </w:r>
          </w:p>
        </w:tc>
        <w:tc>
          <w:tcPr>
            <w:tcW w:w="1276" w:type="dxa"/>
            <w:vAlign w:val="center"/>
          </w:tcPr>
          <w:p w14:paraId="73250894"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162 288,68</w:t>
            </w:r>
          </w:p>
        </w:tc>
        <w:tc>
          <w:tcPr>
            <w:tcW w:w="1276" w:type="dxa"/>
            <w:vAlign w:val="center"/>
          </w:tcPr>
          <w:p w14:paraId="6EC71032"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208 426,35</w:t>
            </w:r>
          </w:p>
        </w:tc>
        <w:tc>
          <w:tcPr>
            <w:tcW w:w="1134" w:type="dxa"/>
            <w:shd w:val="clear" w:color="auto" w:fill="D9D9D9"/>
            <w:vAlign w:val="center"/>
          </w:tcPr>
          <w:p w14:paraId="65C546DF"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b/>
                <w:bCs/>
                <w:color w:val="auto"/>
                <w:spacing w:val="-2"/>
                <w:sz w:val="16"/>
                <w:szCs w:val="16"/>
                <w:lang w:eastAsia="ja-JP" w:bidi="fa-IR"/>
              </w:rPr>
            </w:pPr>
            <w:r w:rsidRPr="004F74DE">
              <w:rPr>
                <w:rFonts w:ascii="Arial" w:eastAsia="Andale Sans UI" w:hAnsi="Arial" w:cs="Arial"/>
                <w:b/>
                <w:bCs/>
                <w:color w:val="auto"/>
                <w:spacing w:val="-2"/>
                <w:sz w:val="16"/>
                <w:szCs w:val="16"/>
                <w:lang w:eastAsia="ja-JP" w:bidi="fa-IR"/>
              </w:rPr>
              <w:t>370 715,03</w:t>
            </w:r>
          </w:p>
        </w:tc>
        <w:tc>
          <w:tcPr>
            <w:tcW w:w="1276" w:type="dxa"/>
            <w:vAlign w:val="center"/>
          </w:tcPr>
          <w:p w14:paraId="5C3CCAD4"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156 518,58</w:t>
            </w:r>
          </w:p>
        </w:tc>
        <w:tc>
          <w:tcPr>
            <w:tcW w:w="1275" w:type="dxa"/>
            <w:vAlign w:val="center"/>
          </w:tcPr>
          <w:p w14:paraId="233DFD7C"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color w:val="auto"/>
                <w:spacing w:val="-2"/>
                <w:sz w:val="16"/>
                <w:szCs w:val="16"/>
                <w:lang w:eastAsia="ja-JP" w:bidi="fa-IR"/>
              </w:rPr>
            </w:pPr>
            <w:r w:rsidRPr="004F74DE">
              <w:rPr>
                <w:rFonts w:ascii="Arial" w:eastAsia="Andale Sans UI" w:hAnsi="Arial" w:cs="Arial"/>
                <w:color w:val="auto"/>
                <w:spacing w:val="-2"/>
                <w:sz w:val="16"/>
                <w:szCs w:val="16"/>
                <w:lang w:eastAsia="ja-JP" w:bidi="fa-IR"/>
              </w:rPr>
              <w:t>117 715,68</w:t>
            </w:r>
          </w:p>
        </w:tc>
        <w:tc>
          <w:tcPr>
            <w:tcW w:w="1129" w:type="dxa"/>
            <w:shd w:val="clear" w:color="auto" w:fill="D9D9D9"/>
            <w:vAlign w:val="center"/>
          </w:tcPr>
          <w:p w14:paraId="1C32490D" w14:textId="77777777" w:rsidR="009A0D80" w:rsidRPr="004F74DE" w:rsidRDefault="009A0D80" w:rsidP="004F74DE">
            <w:pPr>
              <w:widowControl w:val="0"/>
              <w:tabs>
                <w:tab w:val="left" w:pos="-8505"/>
                <w:tab w:val="left" w:pos="-2127"/>
              </w:tabs>
              <w:suppressAutoHyphens/>
              <w:spacing w:line="360" w:lineRule="auto"/>
              <w:jc w:val="right"/>
              <w:textAlignment w:val="baseline"/>
              <w:rPr>
                <w:rFonts w:ascii="Arial" w:eastAsia="Andale Sans UI" w:hAnsi="Arial" w:cs="Arial"/>
                <w:b/>
                <w:bCs/>
                <w:color w:val="auto"/>
                <w:spacing w:val="-2"/>
                <w:sz w:val="16"/>
                <w:szCs w:val="16"/>
                <w:lang w:eastAsia="ja-JP" w:bidi="fa-IR"/>
              </w:rPr>
            </w:pPr>
            <w:r w:rsidRPr="004F74DE">
              <w:rPr>
                <w:rFonts w:ascii="Arial" w:eastAsia="Andale Sans UI" w:hAnsi="Arial" w:cs="Arial"/>
                <w:b/>
                <w:bCs/>
                <w:color w:val="auto"/>
                <w:spacing w:val="-2"/>
                <w:sz w:val="16"/>
                <w:szCs w:val="16"/>
                <w:lang w:eastAsia="ja-JP" w:bidi="fa-IR"/>
              </w:rPr>
              <w:t>274 234,26</w:t>
            </w:r>
          </w:p>
        </w:tc>
      </w:tr>
    </w:tbl>
    <w:p w14:paraId="3EE542E3" w14:textId="4F3164EA" w:rsidR="009A0D80" w:rsidRPr="006C537E" w:rsidRDefault="009A0D80" w:rsidP="006C537E">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lastRenderedPageBreak/>
        <w:t>Szczegółowe zasady, sposób i tryb umarzania, odraczania terminu spłaty lub rozkładania na raty płatności należności pieniężnych mających charakter cywilnoprawny, przypadających Gminie Miasta Tychy lub jej jednostkom organizacyjnym określone zostały w uchwale nr</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 xml:space="preserve">XLI/666/17 Rady Miasta Tychy z dnia 26 października 2017 r. Zgodnie z treścią uchwały udzielenie ulgi w spłacie musi być poprzedzone wnikliwym postępowaniem wyjaśniającym dokumentującym przesłanki zastosowanych ulg poprzez zgromadzenie materiału dowodowego opartego m.in.: na informacji odnośnie sytuacji majątkowej i rodzinnej dłużnika, źródle i wysokości osiąganych dochodów, posiadanego majątku, dochodów osób </w:t>
      </w:r>
      <w:r w:rsidRPr="006C537E">
        <w:rPr>
          <w:rFonts w:ascii="Arial" w:eastAsia="Andale Sans UI" w:hAnsi="Arial" w:cs="Arial"/>
          <w:color w:val="auto"/>
          <w:spacing w:val="-2"/>
          <w:lang w:eastAsia="ja-JP" w:bidi="fa-IR"/>
        </w:rPr>
        <w:t>prowadzących wspólne gospodarstwo domowe, ponoszonych wydatków, innych zobowiązań dłużnika, itp. oraz innych dowodów uzasadniających zastosowanie wnioskowanej ulgi.</w:t>
      </w:r>
      <w:r w:rsidRPr="006C537E">
        <w:rPr>
          <w:rFonts w:eastAsia="Calibri" w:cs="Times New Roman"/>
          <w:color w:val="auto"/>
          <w:kern w:val="2"/>
          <w:lang w:eastAsia="en-US"/>
          <w14:ligatures w14:val="standardContextual"/>
        </w:rPr>
        <w:t xml:space="preserve"> </w:t>
      </w:r>
      <w:r w:rsidRPr="006C537E">
        <w:rPr>
          <w:rFonts w:ascii="Arial" w:eastAsia="Andale Sans UI" w:hAnsi="Arial" w:cs="Arial"/>
          <w:color w:val="auto"/>
          <w:spacing w:val="-2"/>
          <w:lang w:eastAsia="ja-JP" w:bidi="fa-IR"/>
        </w:rPr>
        <w:t>Do umarzania, odraczania terminów płatności lub rozkładania na raty spłat należności pieniężnych mających charakter cywilnoprawny uprawnieni są:</w:t>
      </w:r>
    </w:p>
    <w:p w14:paraId="7C43D0F5" w14:textId="5F5AA6B7" w:rsidR="009A0D80" w:rsidRPr="006C537E" w:rsidRDefault="009A0D80" w:rsidP="006C537E">
      <w:pPr>
        <w:pStyle w:val="Akapitzlist"/>
        <w:numPr>
          <w:ilvl w:val="0"/>
          <w:numId w:val="68"/>
        </w:numPr>
        <w:tabs>
          <w:tab w:val="left" w:pos="-8505"/>
          <w:tab w:val="left" w:pos="-2127"/>
        </w:tabs>
        <w:rPr>
          <w:rFonts w:ascii="Arial" w:hAnsi="Arial" w:cs="Arial"/>
          <w:color w:val="auto"/>
          <w:spacing w:val="-2"/>
          <w:sz w:val="22"/>
          <w:szCs w:val="22"/>
          <w:lang w:val="pl-PL"/>
        </w:rPr>
      </w:pPr>
      <w:r w:rsidRPr="006C537E">
        <w:rPr>
          <w:rFonts w:ascii="Arial" w:hAnsi="Arial" w:cs="Arial"/>
          <w:color w:val="auto"/>
          <w:spacing w:val="-2"/>
          <w:sz w:val="22"/>
          <w:szCs w:val="22"/>
          <w:lang w:val="pl-PL"/>
        </w:rPr>
        <w:t>Prezydent Miasta Tychy,</w:t>
      </w:r>
    </w:p>
    <w:p w14:paraId="2F086ED5" w14:textId="0556409C" w:rsidR="009A0D80" w:rsidRPr="006C537E" w:rsidRDefault="009A0D80" w:rsidP="006C537E">
      <w:pPr>
        <w:pStyle w:val="Akapitzlist"/>
        <w:numPr>
          <w:ilvl w:val="0"/>
          <w:numId w:val="68"/>
        </w:numPr>
        <w:tabs>
          <w:tab w:val="left" w:pos="-8505"/>
          <w:tab w:val="left" w:pos="-2127"/>
        </w:tabs>
        <w:rPr>
          <w:rFonts w:ascii="Arial" w:hAnsi="Arial" w:cs="Arial"/>
          <w:color w:val="auto"/>
          <w:spacing w:val="-2"/>
          <w:sz w:val="22"/>
          <w:szCs w:val="22"/>
          <w:lang w:val="pl-PL"/>
        </w:rPr>
      </w:pPr>
      <w:r w:rsidRPr="006C537E">
        <w:rPr>
          <w:rFonts w:ascii="Arial" w:hAnsi="Arial" w:cs="Arial"/>
          <w:color w:val="auto"/>
          <w:spacing w:val="-2"/>
          <w:sz w:val="22"/>
          <w:szCs w:val="22"/>
          <w:lang w:val="pl-PL"/>
        </w:rPr>
        <w:t>Zastępcy Prezydenta Miasta Tychy w odniesieniu do należności pieniężnych należących</w:t>
      </w:r>
      <w:r w:rsidR="006C537E" w:rsidRPr="006C537E">
        <w:rPr>
          <w:rFonts w:ascii="Arial" w:hAnsi="Arial" w:cs="Arial"/>
          <w:color w:val="auto"/>
          <w:spacing w:val="-2"/>
          <w:sz w:val="22"/>
          <w:szCs w:val="22"/>
          <w:lang w:val="pl-PL"/>
        </w:rPr>
        <w:t xml:space="preserve"> </w:t>
      </w:r>
      <w:r w:rsidRPr="006C537E">
        <w:rPr>
          <w:rFonts w:ascii="Arial" w:hAnsi="Arial" w:cs="Arial"/>
          <w:color w:val="auto"/>
          <w:spacing w:val="-2"/>
          <w:sz w:val="22"/>
          <w:szCs w:val="22"/>
          <w:lang w:val="pl-PL"/>
        </w:rPr>
        <w:t>do zakresu działania nadzorowanych jednostek organizacyjnych,</w:t>
      </w:r>
    </w:p>
    <w:p w14:paraId="7190B140" w14:textId="5AD99A89" w:rsidR="009A0D80" w:rsidRPr="006C537E" w:rsidRDefault="009A0D80" w:rsidP="006C537E">
      <w:pPr>
        <w:pStyle w:val="Akapitzlist"/>
        <w:numPr>
          <w:ilvl w:val="0"/>
          <w:numId w:val="68"/>
        </w:numPr>
        <w:tabs>
          <w:tab w:val="left" w:pos="-8505"/>
          <w:tab w:val="left" w:pos="-2127"/>
        </w:tabs>
        <w:rPr>
          <w:rFonts w:ascii="Arial" w:hAnsi="Arial" w:cs="Arial"/>
          <w:color w:val="auto"/>
          <w:spacing w:val="-2"/>
          <w:sz w:val="22"/>
          <w:szCs w:val="22"/>
          <w:lang w:val="pl-PL"/>
        </w:rPr>
      </w:pPr>
      <w:r w:rsidRPr="006C537E">
        <w:rPr>
          <w:rFonts w:ascii="Arial" w:hAnsi="Arial" w:cs="Arial"/>
          <w:color w:val="auto"/>
          <w:spacing w:val="-2"/>
          <w:sz w:val="22"/>
          <w:szCs w:val="22"/>
          <w:lang w:val="pl-PL"/>
        </w:rPr>
        <w:t xml:space="preserve">Kierownicy / dyrektorzy jednostek organizacyjnych Gminy Miasta Tychy w odniesieniu do należności przypadających tej jednostce, jeżeli wartość należności pieniężnej od jednego dłużnika nie przekracza kwoty 20.000,00 zł. </w:t>
      </w:r>
    </w:p>
    <w:p w14:paraId="56ECD637" w14:textId="77777777" w:rsidR="009A0D80" w:rsidRPr="006C537E" w:rsidRDefault="009A0D80" w:rsidP="006C537E">
      <w:pPr>
        <w:widowControl w:val="0"/>
        <w:tabs>
          <w:tab w:val="left" w:pos="-8505"/>
          <w:tab w:val="left" w:pos="-2127"/>
          <w:tab w:val="left" w:pos="426"/>
        </w:tabs>
        <w:suppressAutoHyphens/>
        <w:spacing w:after="0" w:line="360" w:lineRule="auto"/>
        <w:jc w:val="both"/>
        <w:textAlignment w:val="baseline"/>
        <w:rPr>
          <w:rFonts w:ascii="Arial" w:eastAsia="Andale Sans UI" w:hAnsi="Arial" w:cs="Arial"/>
          <w:color w:val="auto"/>
          <w:spacing w:val="-2"/>
          <w:lang w:eastAsia="ja-JP" w:bidi="fa-IR"/>
        </w:rPr>
      </w:pPr>
      <w:r w:rsidRPr="006C537E">
        <w:rPr>
          <w:rFonts w:ascii="Arial" w:eastAsia="Andale Sans UI" w:hAnsi="Arial" w:cs="Arial"/>
          <w:color w:val="auto"/>
          <w:spacing w:val="-2"/>
          <w:lang w:eastAsia="ja-JP" w:bidi="fa-IR"/>
        </w:rPr>
        <w:tab/>
        <w:t>Weryfikacji pod kątem stosowania ww. zasad poddano dokumentację dot. umorzenia należności dwóch losowo wybranych dłużników:</w:t>
      </w:r>
    </w:p>
    <w:p w14:paraId="56E2E075" w14:textId="5FF6476C" w:rsidR="009A0D80" w:rsidRPr="00F0151C" w:rsidRDefault="009A0D80" w:rsidP="00326634">
      <w:pPr>
        <w:widowControl w:val="0"/>
        <w:numPr>
          <w:ilvl w:val="0"/>
          <w:numId w:val="44"/>
        </w:numPr>
        <w:tabs>
          <w:tab w:val="left" w:pos="-8505"/>
          <w:tab w:val="left" w:pos="-2127"/>
        </w:tabs>
        <w:suppressAutoHyphens/>
        <w:overflowPunct/>
        <w:spacing w:after="0" w:line="360" w:lineRule="auto"/>
        <w:ind w:left="0" w:firstLine="360"/>
        <w:contextualSpacing/>
        <w:jc w:val="both"/>
        <w:textAlignment w:val="baseline"/>
        <w:rPr>
          <w:rFonts w:ascii="Arial" w:eastAsia="Andale Sans UI" w:hAnsi="Arial" w:cs="Arial"/>
          <w:color w:val="auto"/>
          <w:spacing w:val="-2"/>
          <w:lang w:eastAsia="ja-JP" w:bidi="fa-IR"/>
        </w:rPr>
      </w:pPr>
      <w:bookmarkStart w:id="66" w:name="_Hlk147221332"/>
      <w:r w:rsidRPr="006C537E">
        <w:rPr>
          <w:rFonts w:ascii="Arial" w:eastAsia="Andale Sans UI" w:hAnsi="Arial" w:cs="Arial"/>
          <w:color w:val="auto"/>
          <w:spacing w:val="-2"/>
          <w:lang w:eastAsia="ja-JP" w:bidi="fa-IR"/>
        </w:rPr>
        <w:t>Zgodnie treścią pisma z 24.10.2022 r. MZBM zwrócił się do Zastępcy Prezydenta</w:t>
      </w:r>
      <w:r w:rsidRPr="00F0151C">
        <w:rPr>
          <w:rFonts w:ascii="Arial" w:eastAsia="Andale Sans UI" w:hAnsi="Arial" w:cs="Arial"/>
          <w:color w:val="auto"/>
          <w:spacing w:val="-2"/>
          <w:lang w:eastAsia="ja-JP" w:bidi="fa-IR"/>
        </w:rPr>
        <w:t xml:space="preserve"> Miasta Tychy z wnioskiem o wyrażenie zgody na umorzenie</w:t>
      </w:r>
      <w:bookmarkEnd w:id="66"/>
      <w:r w:rsidRPr="00F0151C">
        <w:rPr>
          <w:rFonts w:ascii="Arial" w:eastAsia="Andale Sans UI" w:hAnsi="Arial" w:cs="Arial"/>
          <w:color w:val="auto"/>
          <w:spacing w:val="-2"/>
          <w:lang w:eastAsia="ja-JP" w:bidi="fa-IR"/>
        </w:rPr>
        <w:t xml:space="preserve"> zaległości czynszowych nieobjętych nakazem zapłaty dłużnika o numerze ewidencyjnym 337302384, który na dzień 30.09.2022 r. posiadał zadłużenie w łącznej kwocie 32 642,84 zł, w tym 6 459,83 zł to należności przedawnione, nieobjęte nakazem. W piśmie wskazano, że osobie tej w 2014 r. wypowiedziano umowę najmu, a Sąd Rejonowy w Tychach wydał wyrok o eksmisję bez prawa do lokalu socjalnego. Jak wynika z postępowania wyjaśniającego komornik prowadzący egzekucję nie zdołał ustalić majątku dłużnika. Wszystkie postępowania egzekucyjne uznawano za bezskuteczne, ponieważ ww. osoba jest również dłużnikiem alimentacyjnym, a</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zadłużenie z tego tytułu wynosi około 232 500 zł. Zadłużenie w łącznej kwocie  9 616,18 zł  w tym : zaległość główna 6 459,83 zł, odsetki 3 126,35 zł oraz koszty upomnień 30 zł, nie zostało objęte tytułami wykonawczymi. Wniosek o zgodę na umorzenie argumentowano, w</w:t>
      </w:r>
      <w:r w:rsidR="00340D5F"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następujący sposób: „</w:t>
      </w:r>
      <w:r w:rsidRPr="00F0151C">
        <w:rPr>
          <w:rFonts w:ascii="Arial" w:eastAsia="Andale Sans UI" w:hAnsi="Arial" w:cs="Arial"/>
          <w:i/>
          <w:iCs/>
          <w:color w:val="auto"/>
          <w:spacing w:val="-2"/>
          <w:lang w:eastAsia="ja-JP" w:bidi="fa-IR"/>
        </w:rPr>
        <w:t xml:space="preserve">MZBM nie wystąpił przeciwko dłużnikowi na drogę postępowania sądowego o zapłatę zaległości nieobjętych nakazem zapłaty […] ze względu na brak rokowań co </w:t>
      </w:r>
      <w:r w:rsidR="00A31D52" w:rsidRPr="00F0151C">
        <w:rPr>
          <w:rFonts w:ascii="Arial" w:eastAsia="Andale Sans UI" w:hAnsi="Arial" w:cs="Arial"/>
          <w:i/>
          <w:iCs/>
          <w:color w:val="auto"/>
          <w:spacing w:val="-2"/>
          <w:lang w:eastAsia="ja-JP" w:bidi="fa-IR"/>
        </w:rPr>
        <w:t>do</w:t>
      </w:r>
      <w:r w:rsidRPr="00F0151C">
        <w:rPr>
          <w:rFonts w:ascii="Arial" w:eastAsia="Andale Sans UI" w:hAnsi="Arial" w:cs="Arial"/>
          <w:i/>
          <w:iCs/>
          <w:color w:val="auto"/>
          <w:spacing w:val="-2"/>
          <w:lang w:eastAsia="ja-JP" w:bidi="fa-IR"/>
        </w:rPr>
        <w:t xml:space="preserve"> skuteczności egzekucji świadczeń pieniężnych”</w:t>
      </w:r>
      <w:r w:rsidRPr="00F0151C">
        <w:rPr>
          <w:rFonts w:ascii="Arial" w:eastAsia="Andale Sans UI" w:hAnsi="Arial" w:cs="Arial"/>
          <w:color w:val="auto"/>
          <w:spacing w:val="-2"/>
          <w:lang w:eastAsia="ja-JP" w:bidi="fa-IR"/>
        </w:rPr>
        <w:t>. W związku z powyższym „</w:t>
      </w:r>
      <w:r w:rsidRPr="00F0151C">
        <w:rPr>
          <w:rFonts w:ascii="Arial" w:eastAsia="Andale Sans UI" w:hAnsi="Arial" w:cs="Arial"/>
          <w:i/>
          <w:iCs/>
          <w:color w:val="auto"/>
          <w:spacing w:val="-2"/>
          <w:lang w:eastAsia="ja-JP" w:bidi="fa-IR"/>
        </w:rPr>
        <w:t xml:space="preserve">zadłużenie jest przedawnione i Gmina Miasta Tychy jest pozbawiona możliwości realizacji […] roszczenia. </w:t>
      </w:r>
      <w:r w:rsidRPr="00F0151C">
        <w:rPr>
          <w:rFonts w:ascii="Arial" w:eastAsia="Andale Sans UI" w:hAnsi="Arial" w:cs="Arial"/>
          <w:i/>
          <w:iCs/>
          <w:color w:val="auto"/>
          <w:spacing w:val="-2"/>
          <w:lang w:eastAsia="ja-JP" w:bidi="fa-IR"/>
        </w:rPr>
        <w:lastRenderedPageBreak/>
        <w:t>Zadłużenie to nie może być egzekwowane na drodze postępowania sądowego i</w:t>
      </w:r>
      <w:r w:rsidR="00340D5F" w:rsidRPr="00F0151C">
        <w:rPr>
          <w:rFonts w:ascii="Arial" w:eastAsia="Andale Sans UI" w:hAnsi="Arial" w:cs="Arial"/>
          <w:i/>
          <w:iCs/>
          <w:color w:val="auto"/>
          <w:spacing w:val="-2"/>
          <w:lang w:eastAsia="ja-JP" w:bidi="fa-IR"/>
        </w:rPr>
        <w:t> </w:t>
      </w:r>
      <w:r w:rsidRPr="00F0151C">
        <w:rPr>
          <w:rFonts w:ascii="Arial" w:eastAsia="Andale Sans UI" w:hAnsi="Arial" w:cs="Arial"/>
          <w:i/>
          <w:iCs/>
          <w:color w:val="auto"/>
          <w:spacing w:val="-2"/>
          <w:lang w:eastAsia="ja-JP" w:bidi="fa-IR"/>
        </w:rPr>
        <w:t>egzekucyjnego. Od zaległości regularnie naliczają się odsetki ustawowe za opóźnienie, które przyczyniają się do zwiększania zaległości</w:t>
      </w:r>
      <w:r w:rsidRPr="00F0151C">
        <w:rPr>
          <w:rFonts w:ascii="Arial" w:eastAsia="Andale Sans UI" w:hAnsi="Arial" w:cs="Arial"/>
          <w:color w:val="auto"/>
          <w:spacing w:val="-2"/>
          <w:lang w:eastAsia="ja-JP" w:bidi="fa-IR"/>
        </w:rPr>
        <w:t>.” Mając na uwadze okoliczności, o których mowa w</w:t>
      </w:r>
      <w:r w:rsidR="00176E52">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piśmie oraz działając na podstawie § 3 ust 1 pkt 3 ww. uchwały</w:t>
      </w:r>
      <w:r w:rsidR="00F57B73" w:rsidRPr="00F0151C">
        <w:rPr>
          <w:rFonts w:ascii="Arial" w:eastAsia="Andale Sans UI" w:hAnsi="Arial" w:cs="Arial"/>
          <w:color w:val="auto"/>
          <w:spacing w:val="-2"/>
          <w:lang w:eastAsia="ja-JP" w:bidi="fa-IR"/>
        </w:rPr>
        <w:t>,</w:t>
      </w:r>
      <w:r w:rsidRPr="00F0151C">
        <w:rPr>
          <w:rFonts w:ascii="Arial" w:eastAsia="Andale Sans UI" w:hAnsi="Arial" w:cs="Arial"/>
          <w:color w:val="auto"/>
          <w:spacing w:val="-2"/>
          <w:lang w:eastAsia="ja-JP" w:bidi="fa-IR"/>
        </w:rPr>
        <w:t xml:space="preserve"> tj. zachodzi uzasadnione przypuszczenie, że w postępowaniu egzekucyjnym nie uzyska się kwoty wyższej od kosztów dochodzenia i egzekucji tej wierzytelności lub postępowanie egzekucyjne okazało się nieskuteczne, MZBM uzyskał zgodę na umorzenie przedawnionych zaległości.  Oświadczeniem wierzyciela z dnia 25.10.2022 r. umorzono należności w łącznej kwocie 9 616,18 zł. Wobec powyższego na dzień 31.07.2023 r. saldo należności dłużnika wynosiło 24 960,23 zł, w całości objęte nakazem zapłaty.</w:t>
      </w:r>
    </w:p>
    <w:p w14:paraId="58C9D898" w14:textId="5E8F2553" w:rsidR="009A0D80" w:rsidRPr="00F0151C" w:rsidRDefault="009A0D80" w:rsidP="00326634">
      <w:pPr>
        <w:widowControl w:val="0"/>
        <w:numPr>
          <w:ilvl w:val="0"/>
          <w:numId w:val="44"/>
        </w:numPr>
        <w:tabs>
          <w:tab w:val="left" w:pos="-8505"/>
          <w:tab w:val="left" w:pos="-2127"/>
        </w:tabs>
        <w:suppressAutoHyphens/>
        <w:overflowPunct/>
        <w:spacing w:after="0" w:line="360" w:lineRule="auto"/>
        <w:ind w:left="0" w:firstLine="426"/>
        <w:contextualSpacing/>
        <w:jc w:val="both"/>
        <w:textAlignment w:val="baseline"/>
        <w:rPr>
          <w:rFonts w:ascii="Arial" w:eastAsia="Andale Sans UI" w:hAnsi="Arial" w:cs="Arial"/>
          <w:color w:val="auto"/>
          <w:spacing w:val="-2"/>
          <w:lang w:eastAsia="ja-JP" w:bidi="fa-IR"/>
        </w:rPr>
      </w:pPr>
      <w:r w:rsidRPr="00F0151C">
        <w:rPr>
          <w:rFonts w:ascii="Arial" w:eastAsia="Andale Sans UI" w:hAnsi="Arial" w:cs="Arial"/>
          <w:color w:val="auto"/>
          <w:spacing w:val="-2"/>
          <w:lang w:eastAsia="ja-JP" w:bidi="fa-IR"/>
        </w:rPr>
        <w:t xml:space="preserve">Zgodnie </w:t>
      </w:r>
      <w:r w:rsidR="00F57B73" w:rsidRPr="00F0151C">
        <w:rPr>
          <w:rFonts w:ascii="Arial" w:eastAsia="Andale Sans UI" w:hAnsi="Arial" w:cs="Arial"/>
          <w:color w:val="auto"/>
          <w:spacing w:val="-2"/>
          <w:lang w:eastAsia="ja-JP" w:bidi="fa-IR"/>
        </w:rPr>
        <w:t xml:space="preserve">z </w:t>
      </w:r>
      <w:r w:rsidRPr="00F0151C">
        <w:rPr>
          <w:rFonts w:ascii="Arial" w:eastAsia="Andale Sans UI" w:hAnsi="Arial" w:cs="Arial"/>
          <w:color w:val="auto"/>
          <w:spacing w:val="-2"/>
          <w:lang w:eastAsia="ja-JP" w:bidi="fa-IR"/>
        </w:rPr>
        <w:t>treścią pisma z 24.10.2022 r. MZBM zwrócił się do Zastępcy Prezydenta Miasta Tychy z wnioskiem o wyrażenie zgody na umorzenie zaległości czynszowych objętych nakazem zapłaty po wykonaniu eksmisji względem dłużnika o numerze ewidencyjnym 151300209, którego saldo należności na dzień 31.10.2022 r. wynosiło 34 719,89 zł. Dłużnikowi wypowiedziano umowę najmu w 2012 r., po czym w 2013 r. Sąd Rejonowy w Tychach wydał wyrok o eksmisję bez prawa do lokalu socjalnego. Przejęcie lokalu nastąpiło we wrześniu 2013</w:t>
      </w:r>
      <w:r w:rsidR="008C481C" w:rsidRPr="00F0151C">
        <w:rPr>
          <w:rFonts w:ascii="Arial" w:eastAsia="Andale Sans UI" w:hAnsi="Arial" w:cs="Arial"/>
          <w:color w:val="auto"/>
          <w:spacing w:val="-2"/>
          <w:lang w:eastAsia="ja-JP" w:bidi="fa-IR"/>
        </w:rPr>
        <w:t> </w:t>
      </w:r>
      <w:r w:rsidRPr="00F0151C">
        <w:rPr>
          <w:rFonts w:ascii="Arial" w:eastAsia="Andale Sans UI" w:hAnsi="Arial" w:cs="Arial"/>
          <w:color w:val="auto"/>
          <w:spacing w:val="-2"/>
          <w:lang w:eastAsia="ja-JP" w:bidi="fa-IR"/>
        </w:rPr>
        <w:t>r. Komornik prowadzący postępowanie nie zdołał ustalić majątku dłużnika, a egzekucja kilkukrotnie umarzana i ponawiana okazała się być całkowicie bezskuteczna. Dłużnik nie posiada stałego miejsca zamieszkania. W wyniku prowadzonego postępowania egzekucyjnego ustalono, że dłużnik jest zgłoszony do ubezpieczeń społecznych jako osoba pobierająca świadczenie emerytalne w wysokości 489,29 zł. Wobec powyższego MZBM nie wystąpił z ponownym wnioskiem o egzekucję należności objętych postanowieniami sądowymi ponieważ nie rokuje ona w zakresie skuteczności. Powołując się na § 3 ust 1 pkt 3 ww. uchwały oraz na zgodę wyrażoną przez Zastępcę Prezydenta Miasta Tychy z dnia 21.11.2022 r. sporządzono oświadczenie wierzyciela z 23.11.2022 r.</w:t>
      </w:r>
      <w:r w:rsidR="00A31D52" w:rsidRPr="00F0151C">
        <w:rPr>
          <w:rFonts w:ascii="Arial" w:eastAsia="Andale Sans UI" w:hAnsi="Arial" w:cs="Arial"/>
          <w:color w:val="auto"/>
          <w:spacing w:val="-2"/>
          <w:lang w:eastAsia="ja-JP" w:bidi="fa-IR"/>
        </w:rPr>
        <w:t>,</w:t>
      </w:r>
      <w:r w:rsidRPr="00F0151C">
        <w:rPr>
          <w:rFonts w:ascii="Arial" w:eastAsia="Andale Sans UI" w:hAnsi="Arial" w:cs="Arial"/>
          <w:color w:val="auto"/>
          <w:spacing w:val="-2"/>
          <w:lang w:eastAsia="ja-JP" w:bidi="fa-IR"/>
        </w:rPr>
        <w:t xml:space="preserve"> w myśl którego należności dłużnika na łączną kwotę 34 719,89 zł zostały w całości umorzone.</w:t>
      </w:r>
    </w:p>
    <w:p w14:paraId="3DF7177A" w14:textId="77777777" w:rsidR="009A1861" w:rsidRPr="00F0151C" w:rsidRDefault="009A1861" w:rsidP="00C84C9C">
      <w:pPr>
        <w:widowControl w:val="0"/>
        <w:tabs>
          <w:tab w:val="left" w:pos="-8505"/>
          <w:tab w:val="left" w:pos="-2127"/>
        </w:tabs>
        <w:suppressAutoHyphens/>
        <w:spacing w:after="0" w:line="360" w:lineRule="auto"/>
        <w:jc w:val="both"/>
        <w:textAlignment w:val="baseline"/>
        <w:rPr>
          <w:rFonts w:ascii="Arial" w:eastAsia="Andale Sans UI" w:hAnsi="Arial" w:cs="Arial"/>
          <w:color w:val="auto"/>
          <w:spacing w:val="-2"/>
          <w:lang w:eastAsia="ja-JP" w:bidi="fa-IR"/>
        </w:rPr>
      </w:pPr>
    </w:p>
    <w:p w14:paraId="4C58009D" w14:textId="77777777" w:rsidR="009A1861" w:rsidRPr="00F0151C" w:rsidRDefault="009A1861" w:rsidP="00285E7D">
      <w:pPr>
        <w:pStyle w:val="Akapitzlist"/>
        <w:numPr>
          <w:ilvl w:val="1"/>
          <w:numId w:val="27"/>
        </w:numPr>
        <w:tabs>
          <w:tab w:val="left" w:pos="426"/>
        </w:tabs>
        <w:rPr>
          <w:rFonts w:ascii="Arial" w:hAnsi="Arial" w:cs="Arial"/>
          <w:b/>
          <w:color w:val="auto"/>
          <w:sz w:val="22"/>
          <w:szCs w:val="22"/>
          <w:lang w:val="pl-PL"/>
        </w:rPr>
      </w:pPr>
      <w:r w:rsidRPr="00F0151C">
        <w:rPr>
          <w:rFonts w:ascii="Arial" w:hAnsi="Arial" w:cs="Arial"/>
          <w:b/>
          <w:color w:val="auto"/>
          <w:sz w:val="22"/>
          <w:szCs w:val="22"/>
          <w:lang w:val="pl-PL"/>
        </w:rPr>
        <w:t>Przestrzeganie stosowania Procedury MDR i przepisów MDR</w:t>
      </w:r>
    </w:p>
    <w:p w14:paraId="4F88962F" w14:textId="0C08C3DB" w:rsidR="003B05C2" w:rsidRPr="00F0151C" w:rsidRDefault="009A1861" w:rsidP="009A1861">
      <w:pPr>
        <w:tabs>
          <w:tab w:val="left" w:pos="426"/>
        </w:tabs>
        <w:spacing w:after="0" w:line="360" w:lineRule="auto"/>
        <w:jc w:val="both"/>
        <w:rPr>
          <w:rFonts w:ascii="Arial" w:hAnsi="Arial" w:cs="Arial"/>
          <w:color w:val="auto"/>
        </w:rPr>
      </w:pPr>
      <w:r w:rsidRPr="00F0151C">
        <w:rPr>
          <w:rFonts w:ascii="Arial" w:hAnsi="Arial" w:cs="Arial"/>
          <w:color w:val="auto"/>
        </w:rPr>
        <w:tab/>
        <w:t xml:space="preserve">Podczas czynności kontrolnych weryfikacji poddano stosowanie Procedury MDR i przepisów MDR zgodnie z zarządzeniem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 Do kontroli przedłożono oświadczenie (stanowiące załącznik nr 6) złożone przez pracowników </w:t>
      </w:r>
      <w:r w:rsidR="00326634" w:rsidRPr="00F0151C">
        <w:rPr>
          <w:rFonts w:ascii="Arial" w:hAnsi="Arial" w:cs="Arial"/>
          <w:color w:val="auto"/>
        </w:rPr>
        <w:t>wchodzących w skład zespołu ds. MDR</w:t>
      </w:r>
      <w:r w:rsidR="008E54DF" w:rsidRPr="00F0151C">
        <w:rPr>
          <w:rFonts w:ascii="Arial" w:hAnsi="Arial" w:cs="Arial"/>
          <w:color w:val="auto"/>
        </w:rPr>
        <w:t xml:space="preserve"> o: </w:t>
      </w:r>
      <w:r w:rsidR="00FF796B">
        <w:rPr>
          <w:rFonts w:ascii="Arial" w:hAnsi="Arial" w:cs="Arial"/>
          <w:color w:val="auto"/>
        </w:rPr>
        <w:t> </w:t>
      </w:r>
      <w:r w:rsidRPr="00F0151C">
        <w:rPr>
          <w:rFonts w:ascii="Arial" w:hAnsi="Arial" w:cs="Arial"/>
          <w:color w:val="auto"/>
        </w:rPr>
        <w:t xml:space="preserve">zapoznaniu się z Procedurą wewnętrzną w zakresie przeciwdziałania niewywiązywaniu </w:t>
      </w:r>
      <w:r w:rsidRPr="00F0151C">
        <w:rPr>
          <w:rFonts w:ascii="Arial" w:hAnsi="Arial" w:cs="Arial"/>
          <w:color w:val="auto"/>
        </w:rPr>
        <w:lastRenderedPageBreak/>
        <w:t>się z</w:t>
      </w:r>
      <w:r w:rsidR="00340D5F" w:rsidRPr="00F0151C">
        <w:rPr>
          <w:rFonts w:ascii="Arial" w:hAnsi="Arial" w:cs="Arial"/>
          <w:color w:val="auto"/>
        </w:rPr>
        <w:t> </w:t>
      </w:r>
      <w:r w:rsidRPr="00F0151C">
        <w:rPr>
          <w:rFonts w:ascii="Arial" w:hAnsi="Arial" w:cs="Arial"/>
          <w:color w:val="auto"/>
        </w:rPr>
        <w:t>obowiązku przekazywania informacji o schematach podatkowych MDR obowiązującą w</w:t>
      </w:r>
      <w:r w:rsidR="00340D5F" w:rsidRPr="00F0151C">
        <w:rPr>
          <w:rFonts w:ascii="Arial" w:hAnsi="Arial" w:cs="Arial"/>
          <w:color w:val="auto"/>
        </w:rPr>
        <w:t> </w:t>
      </w:r>
      <w:r w:rsidRPr="00F0151C">
        <w:rPr>
          <w:rFonts w:ascii="Arial" w:hAnsi="Arial" w:cs="Arial"/>
          <w:color w:val="auto"/>
        </w:rPr>
        <w:t>Gminie Miasta Tychy; zrozumieniu postanowień Procedury wewnętrznej MDR i</w:t>
      </w:r>
      <w:r w:rsidR="00340D5F" w:rsidRPr="00F0151C">
        <w:rPr>
          <w:rFonts w:ascii="Arial" w:hAnsi="Arial" w:cs="Arial"/>
          <w:color w:val="auto"/>
        </w:rPr>
        <w:t> </w:t>
      </w:r>
      <w:r w:rsidRPr="00F0151C">
        <w:rPr>
          <w:rFonts w:ascii="Arial" w:hAnsi="Arial" w:cs="Arial"/>
          <w:color w:val="auto"/>
        </w:rPr>
        <w:t>zobowiązaniu się do jej przestrzegania w sytuacjach przewidzianych w Procedurze oraz w</w:t>
      </w:r>
      <w:r w:rsidR="00340D5F" w:rsidRPr="00F0151C">
        <w:rPr>
          <w:rFonts w:ascii="Arial" w:hAnsi="Arial" w:cs="Arial"/>
          <w:color w:val="auto"/>
        </w:rPr>
        <w:t> </w:t>
      </w:r>
      <w:r w:rsidRPr="00F0151C">
        <w:rPr>
          <w:rFonts w:ascii="Arial" w:hAnsi="Arial" w:cs="Arial"/>
          <w:color w:val="auto"/>
        </w:rPr>
        <w:t>przepisach dotyczących przekazywania informacji o schematach podatkowych oraz o</w:t>
      </w:r>
      <w:r w:rsidR="00340D5F" w:rsidRPr="00F0151C">
        <w:rPr>
          <w:rFonts w:ascii="Arial" w:hAnsi="Arial" w:cs="Arial"/>
          <w:color w:val="auto"/>
        </w:rPr>
        <w:t> </w:t>
      </w:r>
      <w:r w:rsidRPr="00F0151C">
        <w:rPr>
          <w:rFonts w:ascii="Arial" w:hAnsi="Arial" w:cs="Arial"/>
          <w:color w:val="auto"/>
        </w:rPr>
        <w:t xml:space="preserve">znajomości przepisów prawa w zakresie przekazywania informacji o schematach podatkowych i zasady zgłaszania rzeczywistych lub potencjalnych naruszeń przepisów MDR i obowiązków wynikających z Procedury. Podczas czynności kontrolnych ustalono, </w:t>
      </w:r>
      <w:r w:rsidR="00326634" w:rsidRPr="00F0151C">
        <w:rPr>
          <w:rFonts w:ascii="Arial" w:hAnsi="Arial" w:cs="Arial"/>
          <w:color w:val="auto"/>
        </w:rPr>
        <w:t>że w</w:t>
      </w:r>
      <w:r w:rsidR="00340D5F" w:rsidRPr="00F0151C">
        <w:rPr>
          <w:rFonts w:ascii="Arial" w:hAnsi="Arial" w:cs="Arial"/>
          <w:color w:val="auto"/>
        </w:rPr>
        <w:t> </w:t>
      </w:r>
      <w:r w:rsidR="00326634" w:rsidRPr="00F0151C">
        <w:rPr>
          <w:rFonts w:ascii="Arial" w:hAnsi="Arial" w:cs="Arial"/>
          <w:color w:val="auto"/>
        </w:rPr>
        <w:t>okresie objętym kontrol</w:t>
      </w:r>
      <w:r w:rsidR="00A31D52" w:rsidRPr="00F0151C">
        <w:rPr>
          <w:rFonts w:ascii="Arial" w:hAnsi="Arial" w:cs="Arial"/>
          <w:color w:val="auto"/>
        </w:rPr>
        <w:t>ą</w:t>
      </w:r>
      <w:r w:rsidR="00326634" w:rsidRPr="00F0151C">
        <w:rPr>
          <w:rFonts w:ascii="Arial" w:hAnsi="Arial" w:cs="Arial"/>
          <w:color w:val="auto"/>
        </w:rPr>
        <w:t xml:space="preserve"> w </w:t>
      </w:r>
      <w:r w:rsidRPr="00F0151C">
        <w:rPr>
          <w:rFonts w:ascii="Arial" w:hAnsi="Arial" w:cs="Arial"/>
          <w:color w:val="auto"/>
        </w:rPr>
        <w:t xml:space="preserve"> </w:t>
      </w:r>
      <w:r w:rsidR="00326634" w:rsidRPr="00F0151C">
        <w:rPr>
          <w:rFonts w:ascii="Arial" w:hAnsi="Arial" w:cs="Arial"/>
          <w:color w:val="auto"/>
        </w:rPr>
        <w:t>zakładzie</w:t>
      </w:r>
      <w:r w:rsidRPr="00F0151C">
        <w:rPr>
          <w:rFonts w:ascii="Arial" w:hAnsi="Arial" w:cs="Arial"/>
          <w:color w:val="auto"/>
        </w:rPr>
        <w:t xml:space="preserve"> nie dokonano uzgodnień mogących stanowić schemat podatkowy. </w:t>
      </w:r>
    </w:p>
    <w:p w14:paraId="3D6FC085" w14:textId="77777777" w:rsidR="00384BC5" w:rsidRDefault="00384BC5" w:rsidP="006D3D00">
      <w:pPr>
        <w:tabs>
          <w:tab w:val="left" w:pos="426"/>
        </w:tabs>
        <w:spacing w:after="0" w:line="360" w:lineRule="auto"/>
        <w:jc w:val="both"/>
        <w:rPr>
          <w:rFonts w:ascii="Arial" w:eastAsia="Times New Roman" w:hAnsi="Arial" w:cs="Arial"/>
          <w:b/>
          <w:color w:val="auto"/>
        </w:rPr>
      </w:pPr>
    </w:p>
    <w:p w14:paraId="12DB20FA" w14:textId="77777777" w:rsidR="00705181" w:rsidRDefault="00705181" w:rsidP="006D3D00">
      <w:pPr>
        <w:tabs>
          <w:tab w:val="left" w:pos="426"/>
        </w:tabs>
        <w:spacing w:after="0" w:line="360" w:lineRule="auto"/>
        <w:jc w:val="both"/>
        <w:rPr>
          <w:rFonts w:ascii="Arial" w:eastAsia="Times New Roman" w:hAnsi="Arial" w:cs="Arial"/>
          <w:b/>
          <w:color w:val="auto"/>
        </w:rPr>
      </w:pPr>
    </w:p>
    <w:p w14:paraId="63C950D0" w14:textId="77777777" w:rsidR="00705181" w:rsidRPr="00F0151C" w:rsidRDefault="00705181" w:rsidP="006D3D00">
      <w:pPr>
        <w:tabs>
          <w:tab w:val="left" w:pos="426"/>
        </w:tabs>
        <w:spacing w:after="0" w:line="360" w:lineRule="auto"/>
        <w:jc w:val="both"/>
        <w:rPr>
          <w:rFonts w:ascii="Arial" w:eastAsia="Times New Roman" w:hAnsi="Arial" w:cs="Arial"/>
          <w:b/>
          <w:color w:val="auto"/>
        </w:rPr>
      </w:pPr>
    </w:p>
    <w:p w14:paraId="1D365C23" w14:textId="7E08FDD9" w:rsidR="00612A76" w:rsidRPr="00F0151C" w:rsidRDefault="007C25FB" w:rsidP="00EB2ECE">
      <w:pPr>
        <w:tabs>
          <w:tab w:val="left" w:pos="0"/>
          <w:tab w:val="left" w:pos="426"/>
        </w:tabs>
        <w:spacing w:after="0" w:line="360" w:lineRule="auto"/>
        <w:jc w:val="both"/>
        <w:rPr>
          <w:rFonts w:ascii="Arial" w:hAnsi="Arial" w:cs="Arial"/>
          <w:color w:val="auto"/>
        </w:rPr>
      </w:pPr>
      <w:r w:rsidRPr="00F0151C">
        <w:rPr>
          <w:rFonts w:ascii="Arial" w:hAnsi="Arial" w:cs="Arial"/>
          <w:color w:val="auto"/>
        </w:rPr>
        <w:t>Na powyższych ustaleniach protokół zakończono.</w:t>
      </w:r>
    </w:p>
    <w:p w14:paraId="795224C2" w14:textId="77777777" w:rsidR="00F66B82" w:rsidRDefault="00F66B82" w:rsidP="00EB2ECE">
      <w:pPr>
        <w:tabs>
          <w:tab w:val="left" w:pos="0"/>
          <w:tab w:val="left" w:pos="426"/>
        </w:tabs>
        <w:spacing w:after="0" w:line="360" w:lineRule="auto"/>
        <w:jc w:val="both"/>
        <w:rPr>
          <w:rFonts w:ascii="Arial" w:hAnsi="Arial" w:cs="Arial"/>
          <w:color w:val="auto"/>
        </w:rPr>
      </w:pPr>
    </w:p>
    <w:p w14:paraId="2F843939" w14:textId="77777777" w:rsidR="00705181" w:rsidRPr="00F0151C" w:rsidRDefault="00705181" w:rsidP="00EB2ECE">
      <w:pPr>
        <w:tabs>
          <w:tab w:val="left" w:pos="0"/>
          <w:tab w:val="left" w:pos="426"/>
        </w:tabs>
        <w:spacing w:after="0" w:line="360" w:lineRule="auto"/>
        <w:jc w:val="both"/>
        <w:rPr>
          <w:rFonts w:ascii="Arial" w:hAnsi="Arial" w:cs="Arial"/>
          <w:color w:val="auto"/>
        </w:rPr>
      </w:pPr>
    </w:p>
    <w:p w14:paraId="49797904" w14:textId="0F4F6694" w:rsidR="007C25FB" w:rsidRPr="00F0151C" w:rsidRDefault="007C25FB" w:rsidP="003D312B">
      <w:pPr>
        <w:tabs>
          <w:tab w:val="left" w:pos="426"/>
        </w:tabs>
        <w:spacing w:after="0" w:line="360" w:lineRule="auto"/>
        <w:jc w:val="both"/>
        <w:rPr>
          <w:rFonts w:ascii="Arial" w:hAnsi="Arial" w:cs="Arial"/>
          <w:color w:val="auto"/>
        </w:rPr>
      </w:pPr>
      <w:r w:rsidRPr="00F0151C">
        <w:rPr>
          <w:rFonts w:ascii="Arial" w:hAnsi="Arial" w:cs="Arial"/>
          <w:color w:val="auto"/>
        </w:rPr>
        <w:t xml:space="preserve">Protokół składa </w:t>
      </w:r>
      <w:r w:rsidR="0036197B" w:rsidRPr="00F0151C">
        <w:rPr>
          <w:rFonts w:ascii="Arial" w:hAnsi="Arial" w:cs="Arial"/>
          <w:color w:val="auto"/>
        </w:rPr>
        <w:t>się z</w:t>
      </w:r>
      <w:r w:rsidR="00A31D52" w:rsidRPr="00F0151C">
        <w:rPr>
          <w:rFonts w:ascii="Arial" w:hAnsi="Arial" w:cs="Arial"/>
          <w:color w:val="auto"/>
        </w:rPr>
        <w:t xml:space="preserve"> 66 </w:t>
      </w:r>
      <w:r w:rsidRPr="00F0151C">
        <w:rPr>
          <w:rFonts w:ascii="Arial" w:hAnsi="Arial" w:cs="Arial"/>
          <w:color w:val="auto"/>
        </w:rPr>
        <w:t>stron kolejno ponumerowanych i zaparafowanych przez osoby uczestniczące w postępowaniu kontrolnym.</w:t>
      </w:r>
    </w:p>
    <w:p w14:paraId="3E64696F" w14:textId="77777777" w:rsidR="00F66B82" w:rsidRDefault="00F66B82" w:rsidP="003D312B">
      <w:pPr>
        <w:tabs>
          <w:tab w:val="left" w:pos="426"/>
        </w:tabs>
        <w:spacing w:after="0" w:line="360" w:lineRule="auto"/>
        <w:jc w:val="both"/>
        <w:rPr>
          <w:rFonts w:ascii="Arial" w:hAnsi="Arial" w:cs="Arial"/>
          <w:color w:val="auto"/>
        </w:rPr>
      </w:pPr>
    </w:p>
    <w:p w14:paraId="12E41EB0" w14:textId="77777777" w:rsidR="00705181" w:rsidRPr="00F0151C" w:rsidRDefault="00705181" w:rsidP="003D312B">
      <w:pPr>
        <w:tabs>
          <w:tab w:val="left" w:pos="426"/>
        </w:tabs>
        <w:spacing w:after="0" w:line="360" w:lineRule="auto"/>
        <w:jc w:val="both"/>
        <w:rPr>
          <w:rFonts w:ascii="Arial" w:hAnsi="Arial" w:cs="Arial"/>
          <w:color w:val="auto"/>
        </w:rPr>
      </w:pPr>
    </w:p>
    <w:p w14:paraId="5424612C" w14:textId="77777777" w:rsidR="007C25FB" w:rsidRPr="00F0151C" w:rsidRDefault="007C25FB" w:rsidP="003D312B">
      <w:pPr>
        <w:tabs>
          <w:tab w:val="left" w:pos="426"/>
        </w:tabs>
        <w:spacing w:after="0" w:line="360" w:lineRule="auto"/>
        <w:jc w:val="both"/>
        <w:rPr>
          <w:rFonts w:ascii="Arial" w:hAnsi="Arial" w:cs="Arial"/>
          <w:color w:val="auto"/>
        </w:rPr>
      </w:pPr>
      <w:r w:rsidRPr="00F0151C">
        <w:rPr>
          <w:rFonts w:ascii="Arial" w:hAnsi="Arial" w:cs="Arial"/>
          <w:color w:val="auto"/>
        </w:rPr>
        <w:t>Niniejszy protokół podlega publikacji w wersji elektronicznej w Biuletynie Informacji Publicznej zgodnie z postanowieniami:</w:t>
      </w:r>
    </w:p>
    <w:p w14:paraId="12B0C335" w14:textId="3A0A52D0" w:rsidR="00612A76" w:rsidRPr="00F0151C" w:rsidRDefault="007C25FB" w:rsidP="00E96D9E">
      <w:pPr>
        <w:numPr>
          <w:ilvl w:val="0"/>
          <w:numId w:val="2"/>
        </w:numPr>
        <w:tabs>
          <w:tab w:val="left" w:pos="426"/>
        </w:tabs>
        <w:spacing w:after="0" w:line="360" w:lineRule="auto"/>
        <w:ind w:left="0" w:firstLine="0"/>
        <w:jc w:val="both"/>
        <w:textAlignment w:val="baseline"/>
        <w:rPr>
          <w:rFonts w:ascii="Arial" w:hAnsi="Arial" w:cs="Arial"/>
          <w:color w:val="auto"/>
          <w:spacing w:val="-2"/>
        </w:rPr>
      </w:pPr>
      <w:r w:rsidRPr="00F0151C">
        <w:rPr>
          <w:rFonts w:ascii="Arial" w:hAnsi="Arial" w:cs="Arial"/>
          <w:color w:val="auto"/>
          <w:spacing w:val="-2"/>
        </w:rPr>
        <w:t xml:space="preserve">art. 6 ust. 1 pkt. 4 lit a) </w:t>
      </w:r>
      <w:proofErr w:type="spellStart"/>
      <w:r w:rsidRPr="00F0151C">
        <w:rPr>
          <w:rFonts w:ascii="Arial" w:hAnsi="Arial" w:cs="Arial"/>
          <w:color w:val="auto"/>
          <w:spacing w:val="-2"/>
        </w:rPr>
        <w:t>tiret</w:t>
      </w:r>
      <w:proofErr w:type="spellEnd"/>
      <w:r w:rsidRPr="00F0151C">
        <w:rPr>
          <w:rFonts w:ascii="Arial" w:hAnsi="Arial" w:cs="Arial"/>
          <w:color w:val="auto"/>
          <w:spacing w:val="-2"/>
        </w:rPr>
        <w:t xml:space="preserve"> drugie z zastrzeżeniem art. 8 ust. 5 ustawy z dnia 6 września 2001 r. o dostępie do informacji publicznej </w:t>
      </w:r>
      <w:r w:rsidR="00A166F8" w:rsidRPr="00F0151C">
        <w:rPr>
          <w:rFonts w:ascii="Arial" w:hAnsi="Arial" w:cs="Arial"/>
          <w:color w:val="auto"/>
          <w:spacing w:val="-2"/>
        </w:rPr>
        <w:t>(t.j. Dz. U. z 2022 r. poz. 902)</w:t>
      </w:r>
      <w:r w:rsidRPr="00F0151C">
        <w:rPr>
          <w:rFonts w:ascii="Arial" w:hAnsi="Arial" w:cs="Arial"/>
          <w:color w:val="auto"/>
          <w:spacing w:val="-2"/>
        </w:rPr>
        <w:t>.</w:t>
      </w:r>
    </w:p>
    <w:p w14:paraId="474AFF6F" w14:textId="77777777" w:rsidR="00F66B82" w:rsidRDefault="00F66B82" w:rsidP="00C001E8">
      <w:pPr>
        <w:tabs>
          <w:tab w:val="left" w:pos="426"/>
        </w:tabs>
        <w:spacing w:after="0" w:line="360" w:lineRule="auto"/>
        <w:jc w:val="both"/>
        <w:textAlignment w:val="baseline"/>
        <w:rPr>
          <w:rFonts w:ascii="Arial" w:hAnsi="Arial" w:cs="Arial"/>
          <w:color w:val="auto"/>
          <w:spacing w:val="-2"/>
        </w:rPr>
      </w:pPr>
    </w:p>
    <w:p w14:paraId="69F9FFCB" w14:textId="77777777" w:rsidR="00705181" w:rsidRPr="00F0151C" w:rsidRDefault="00705181" w:rsidP="00C001E8">
      <w:pPr>
        <w:tabs>
          <w:tab w:val="left" w:pos="426"/>
        </w:tabs>
        <w:spacing w:after="0" w:line="360" w:lineRule="auto"/>
        <w:jc w:val="both"/>
        <w:textAlignment w:val="baseline"/>
        <w:rPr>
          <w:rFonts w:ascii="Arial" w:hAnsi="Arial" w:cs="Arial"/>
          <w:color w:val="auto"/>
          <w:spacing w:val="-2"/>
        </w:rPr>
      </w:pPr>
    </w:p>
    <w:p w14:paraId="2895B79C" w14:textId="31DF08B3" w:rsidR="00C001E8" w:rsidRPr="00F0151C" w:rsidRDefault="007C25FB" w:rsidP="00F66B82">
      <w:pPr>
        <w:tabs>
          <w:tab w:val="left" w:pos="426"/>
        </w:tabs>
        <w:spacing w:after="0" w:line="360" w:lineRule="auto"/>
        <w:jc w:val="both"/>
        <w:textAlignment w:val="baseline"/>
        <w:rPr>
          <w:rFonts w:ascii="Arial" w:hAnsi="Arial" w:cs="Arial"/>
          <w:color w:val="auto"/>
        </w:rPr>
      </w:pPr>
      <w:r w:rsidRPr="00F0151C">
        <w:rPr>
          <w:rFonts w:ascii="Arial" w:hAnsi="Arial" w:cs="Arial"/>
          <w:color w:val="auto"/>
        </w:rPr>
        <w:t xml:space="preserve">Protokół sporządzono w </w:t>
      </w:r>
      <w:r w:rsidR="00DE0BC5" w:rsidRPr="00F0151C">
        <w:rPr>
          <w:rFonts w:ascii="Arial" w:hAnsi="Arial" w:cs="Arial"/>
          <w:color w:val="auto"/>
        </w:rPr>
        <w:t>dwóch</w:t>
      </w:r>
      <w:r w:rsidRPr="00F0151C">
        <w:rPr>
          <w:rFonts w:ascii="Arial" w:hAnsi="Arial" w:cs="Arial"/>
          <w:color w:val="auto"/>
        </w:rPr>
        <w:t xml:space="preserve"> jednobrzmiących egzemplarzach</w:t>
      </w:r>
      <w:r w:rsidR="00D073A5" w:rsidRPr="00F0151C">
        <w:rPr>
          <w:rFonts w:ascii="Arial" w:hAnsi="Arial" w:cs="Arial"/>
          <w:color w:val="auto"/>
        </w:rPr>
        <w:t>.</w:t>
      </w:r>
      <w:r w:rsidRPr="00F0151C">
        <w:rPr>
          <w:rFonts w:ascii="Arial" w:hAnsi="Arial" w:cs="Arial"/>
          <w:color w:val="auto"/>
        </w:rPr>
        <w:t xml:space="preserve"> </w:t>
      </w:r>
      <w:r w:rsidRPr="00F0151C">
        <w:rPr>
          <w:rFonts w:ascii="Arial" w:hAnsi="Arial" w:cs="Arial"/>
          <w:iCs/>
          <w:color w:val="auto"/>
        </w:rPr>
        <w:t xml:space="preserve">Jeden </w:t>
      </w:r>
      <w:r w:rsidRPr="00F0151C">
        <w:rPr>
          <w:rFonts w:ascii="Arial" w:hAnsi="Arial" w:cs="Arial"/>
          <w:color w:val="auto"/>
        </w:rPr>
        <w:t>egzemplarz protokołu pozostawiono w kontrolowan</w:t>
      </w:r>
      <w:r w:rsidR="00253F4B" w:rsidRPr="00F0151C">
        <w:rPr>
          <w:rFonts w:ascii="Arial" w:hAnsi="Arial" w:cs="Arial"/>
          <w:color w:val="auto"/>
        </w:rPr>
        <w:t>ym zakładzie</w:t>
      </w:r>
      <w:r w:rsidRPr="00F0151C">
        <w:rPr>
          <w:rFonts w:ascii="Arial" w:hAnsi="Arial" w:cs="Arial"/>
          <w:color w:val="auto"/>
        </w:rPr>
        <w:t xml:space="preserve">, tj. </w:t>
      </w:r>
      <w:r w:rsidR="00DE0BC5" w:rsidRPr="00F0151C">
        <w:rPr>
          <w:rFonts w:ascii="Arial" w:hAnsi="Arial" w:cs="Arial"/>
          <w:color w:val="auto"/>
        </w:rPr>
        <w:t xml:space="preserve">Miejskim Zarządzie Budynków Mieszkalnych </w:t>
      </w:r>
      <w:r w:rsidRPr="00F0151C">
        <w:rPr>
          <w:rFonts w:ascii="Arial" w:hAnsi="Arial" w:cs="Arial"/>
          <w:color w:val="auto"/>
        </w:rPr>
        <w:t>w Tychach</w:t>
      </w:r>
      <w:r w:rsidR="00DE0BC5" w:rsidRPr="00F0151C">
        <w:rPr>
          <w:rFonts w:ascii="Arial" w:hAnsi="Arial" w:cs="Arial"/>
          <w:color w:val="auto"/>
        </w:rPr>
        <w:t>.</w:t>
      </w:r>
    </w:p>
    <w:p w14:paraId="48D58C07" w14:textId="77777777" w:rsidR="008C481C" w:rsidRDefault="008C481C" w:rsidP="00F66B82">
      <w:pPr>
        <w:tabs>
          <w:tab w:val="left" w:pos="426"/>
        </w:tabs>
        <w:spacing w:after="0" w:line="360" w:lineRule="auto"/>
        <w:jc w:val="both"/>
        <w:textAlignment w:val="baseline"/>
        <w:rPr>
          <w:rFonts w:ascii="Arial" w:hAnsi="Arial" w:cs="Arial"/>
          <w:color w:val="auto"/>
          <w:spacing w:val="-2"/>
        </w:rPr>
      </w:pPr>
    </w:p>
    <w:p w14:paraId="712C2B8E" w14:textId="77777777" w:rsidR="00705181" w:rsidRPr="00F0151C" w:rsidRDefault="00705181" w:rsidP="00F66B82">
      <w:pPr>
        <w:tabs>
          <w:tab w:val="left" w:pos="426"/>
        </w:tabs>
        <w:spacing w:after="0" w:line="360" w:lineRule="auto"/>
        <w:jc w:val="both"/>
        <w:textAlignment w:val="baseline"/>
        <w:rPr>
          <w:rFonts w:ascii="Arial" w:hAnsi="Arial" w:cs="Arial"/>
          <w:color w:val="auto"/>
          <w:spacing w:val="-2"/>
        </w:rPr>
      </w:pPr>
    </w:p>
    <w:p w14:paraId="41C16F82" w14:textId="77777777" w:rsidR="00C001E8" w:rsidRPr="00F0151C" w:rsidRDefault="00C001E8" w:rsidP="00EB2ECE">
      <w:pPr>
        <w:tabs>
          <w:tab w:val="left" w:pos="426"/>
        </w:tabs>
        <w:spacing w:after="0" w:line="240" w:lineRule="auto"/>
        <w:jc w:val="both"/>
        <w:rPr>
          <w:rFonts w:ascii="Arial" w:hAnsi="Arial" w:cs="Arial"/>
          <w:color w:val="auto"/>
        </w:rPr>
      </w:pPr>
    </w:p>
    <w:tbl>
      <w:tblPr>
        <w:tblW w:w="8931" w:type="dxa"/>
        <w:tblCellMar>
          <w:left w:w="70" w:type="dxa"/>
          <w:right w:w="70" w:type="dxa"/>
        </w:tblCellMar>
        <w:tblLook w:val="0000" w:firstRow="0" w:lastRow="0" w:firstColumn="0" w:lastColumn="0" w:noHBand="0" w:noVBand="0"/>
      </w:tblPr>
      <w:tblGrid>
        <w:gridCol w:w="8931"/>
      </w:tblGrid>
      <w:tr w:rsidR="00F0151C" w:rsidRPr="00F0151C" w14:paraId="022EDE49" w14:textId="77777777" w:rsidTr="000B4BFE">
        <w:trPr>
          <w:cantSplit/>
        </w:trPr>
        <w:tc>
          <w:tcPr>
            <w:tcW w:w="8931" w:type="dxa"/>
            <w:shd w:val="clear" w:color="auto" w:fill="D9D9D9"/>
            <w:vAlign w:val="bottom"/>
          </w:tcPr>
          <w:p w14:paraId="4CE1816C" w14:textId="4E7315CC" w:rsidR="000B4BFE" w:rsidRPr="00F0151C" w:rsidRDefault="000B4BFE" w:rsidP="00D71B1B">
            <w:pPr>
              <w:pStyle w:val="Domylnie"/>
              <w:numPr>
                <w:ilvl w:val="0"/>
                <w:numId w:val="5"/>
              </w:numPr>
              <w:tabs>
                <w:tab w:val="left" w:pos="-4395"/>
              </w:tabs>
              <w:rPr>
                <w:rFonts w:ascii="Arial" w:hAnsi="Arial" w:cs="Arial"/>
                <w:b/>
                <w:bCs/>
                <w:color w:val="auto"/>
                <w:sz w:val="22"/>
                <w:szCs w:val="22"/>
                <w:lang w:val="pl-PL"/>
              </w:rPr>
            </w:pPr>
            <w:r w:rsidRPr="00F0151C">
              <w:rPr>
                <w:rFonts w:ascii="Arial" w:hAnsi="Arial" w:cs="Arial"/>
                <w:b/>
                <w:bCs/>
                <w:color w:val="auto"/>
                <w:sz w:val="22"/>
                <w:szCs w:val="22"/>
                <w:lang w:val="pl-PL"/>
              </w:rPr>
              <w:t>Pouczenie</w:t>
            </w:r>
          </w:p>
        </w:tc>
      </w:tr>
    </w:tbl>
    <w:p w14:paraId="479291E4" w14:textId="77777777" w:rsidR="000B4BFE" w:rsidRPr="00F0151C" w:rsidRDefault="000B4BFE" w:rsidP="003D312B">
      <w:pPr>
        <w:pStyle w:val="Tretekstu"/>
        <w:tabs>
          <w:tab w:val="left" w:pos="426"/>
        </w:tabs>
        <w:spacing w:after="0" w:line="360" w:lineRule="auto"/>
        <w:jc w:val="both"/>
        <w:rPr>
          <w:rFonts w:ascii="Arial" w:hAnsi="Arial" w:cs="Arial"/>
          <w:color w:val="auto"/>
          <w:sz w:val="6"/>
          <w:szCs w:val="6"/>
        </w:rPr>
      </w:pPr>
    </w:p>
    <w:p w14:paraId="4ACAB4DD" w14:textId="7D0C1DC2" w:rsidR="007C25FB" w:rsidRPr="00F0151C" w:rsidRDefault="007C25FB" w:rsidP="003D312B">
      <w:pPr>
        <w:pStyle w:val="Tretekstu"/>
        <w:tabs>
          <w:tab w:val="left" w:pos="426"/>
        </w:tabs>
        <w:spacing w:after="0" w:line="360" w:lineRule="auto"/>
        <w:jc w:val="both"/>
        <w:rPr>
          <w:rFonts w:ascii="Arial" w:hAnsi="Arial" w:cs="Arial"/>
          <w:color w:val="auto"/>
        </w:rPr>
      </w:pPr>
      <w:r w:rsidRPr="00F0151C">
        <w:rPr>
          <w:rFonts w:ascii="Arial" w:hAnsi="Arial" w:cs="Arial"/>
          <w:color w:val="auto"/>
        </w:rPr>
        <w:t xml:space="preserve">Dyrektor </w:t>
      </w:r>
      <w:r w:rsidR="00DE0BC5" w:rsidRPr="00F0151C">
        <w:rPr>
          <w:rFonts w:ascii="Arial" w:hAnsi="Arial" w:cs="Arial"/>
          <w:color w:val="auto"/>
        </w:rPr>
        <w:t xml:space="preserve">Miejskiego Zarządu Budynków Mieszkalnych </w:t>
      </w:r>
      <w:r w:rsidR="004E3ED1" w:rsidRPr="00F0151C">
        <w:rPr>
          <w:rFonts w:ascii="Arial" w:hAnsi="Arial" w:cs="Arial"/>
          <w:color w:val="auto"/>
          <w:spacing w:val="-2"/>
        </w:rPr>
        <w:t>w Tych</w:t>
      </w:r>
      <w:r w:rsidR="004E3ED1" w:rsidRPr="00F0151C">
        <w:rPr>
          <w:rFonts w:ascii="Arial" w:hAnsi="Arial" w:cs="Arial"/>
          <w:color w:val="auto"/>
        </w:rPr>
        <w:t xml:space="preserve">ach </w:t>
      </w:r>
      <w:r w:rsidR="00AF78FC" w:rsidRPr="00F0151C">
        <w:rPr>
          <w:rFonts w:ascii="Arial" w:hAnsi="Arial" w:cs="Arial"/>
          <w:color w:val="auto"/>
        </w:rPr>
        <w:t>zosta</w:t>
      </w:r>
      <w:r w:rsidR="00DE0BC5" w:rsidRPr="00F0151C">
        <w:rPr>
          <w:rFonts w:ascii="Arial" w:hAnsi="Arial" w:cs="Arial"/>
          <w:color w:val="auto"/>
        </w:rPr>
        <w:t>ła</w:t>
      </w:r>
      <w:r w:rsidR="00AF78FC" w:rsidRPr="00F0151C">
        <w:rPr>
          <w:rFonts w:ascii="Arial" w:hAnsi="Arial" w:cs="Arial"/>
          <w:color w:val="auto"/>
        </w:rPr>
        <w:t xml:space="preserve"> poinformowan</w:t>
      </w:r>
      <w:r w:rsidR="00DE0BC5" w:rsidRPr="00F0151C">
        <w:rPr>
          <w:rFonts w:ascii="Arial" w:hAnsi="Arial" w:cs="Arial"/>
          <w:color w:val="auto"/>
        </w:rPr>
        <w:t>a</w:t>
      </w:r>
      <w:r w:rsidRPr="00F0151C">
        <w:rPr>
          <w:rFonts w:ascii="Arial" w:hAnsi="Arial" w:cs="Arial"/>
          <w:color w:val="auto"/>
        </w:rPr>
        <w:t xml:space="preserve"> o</w:t>
      </w:r>
      <w:r w:rsidR="00DE0BC5" w:rsidRPr="00F0151C">
        <w:rPr>
          <w:rFonts w:ascii="Arial" w:hAnsi="Arial" w:cs="Arial"/>
          <w:color w:val="auto"/>
        </w:rPr>
        <w:t> </w:t>
      </w:r>
      <w:r w:rsidRPr="00F0151C">
        <w:rPr>
          <w:rFonts w:ascii="Arial" w:hAnsi="Arial" w:cs="Arial"/>
          <w:color w:val="auto"/>
        </w:rPr>
        <w:t>prawie do złożenia w</w:t>
      </w:r>
      <w:r w:rsidR="00A166F8" w:rsidRPr="00F0151C">
        <w:rPr>
          <w:rFonts w:ascii="Arial" w:hAnsi="Arial" w:cs="Arial"/>
          <w:color w:val="auto"/>
        </w:rPr>
        <w:t> </w:t>
      </w:r>
      <w:r w:rsidRPr="00F0151C">
        <w:rPr>
          <w:rFonts w:ascii="Arial" w:hAnsi="Arial" w:cs="Arial"/>
          <w:color w:val="auto"/>
        </w:rPr>
        <w:t>ciągu 7 dni od daty podpisania niniejszego protokołu dodatkowych wyjaśnień i uwag co do treści protokołu do Wydziału Kontroli Urzędu Miasta Tychy.</w:t>
      </w:r>
    </w:p>
    <w:p w14:paraId="19399C84" w14:textId="77777777" w:rsidR="004F74DE" w:rsidRPr="00F0151C" w:rsidRDefault="004F74DE" w:rsidP="003D312B">
      <w:pPr>
        <w:pStyle w:val="Standard"/>
        <w:tabs>
          <w:tab w:val="left" w:pos="426"/>
        </w:tabs>
        <w:spacing w:after="0" w:line="360" w:lineRule="auto"/>
        <w:jc w:val="both"/>
        <w:rPr>
          <w:rFonts w:ascii="Arial" w:hAnsi="Arial" w:cs="Arial"/>
          <w:color w:val="auto"/>
        </w:rPr>
      </w:pPr>
    </w:p>
    <w:p w14:paraId="4DBDAF5B" w14:textId="78444EA5" w:rsidR="00130F64" w:rsidRPr="00F0151C" w:rsidRDefault="007C25FB" w:rsidP="003D312B">
      <w:pPr>
        <w:pStyle w:val="Standard"/>
        <w:tabs>
          <w:tab w:val="left" w:pos="426"/>
        </w:tabs>
        <w:spacing w:after="0" w:line="360" w:lineRule="auto"/>
        <w:jc w:val="both"/>
        <w:rPr>
          <w:rFonts w:ascii="Arial" w:hAnsi="Arial" w:cs="Arial"/>
          <w:color w:val="auto"/>
        </w:rPr>
      </w:pPr>
      <w:r w:rsidRPr="00F0151C">
        <w:rPr>
          <w:rFonts w:ascii="Arial" w:hAnsi="Arial" w:cs="Arial"/>
          <w:color w:val="auto"/>
        </w:rPr>
        <w:lastRenderedPageBreak/>
        <w:t>Tychy, dnia</w:t>
      </w:r>
      <w:r w:rsidR="00705181">
        <w:rPr>
          <w:rFonts w:ascii="Arial" w:hAnsi="Arial" w:cs="Arial"/>
          <w:color w:val="auto"/>
        </w:rPr>
        <w:t xml:space="preserve"> </w:t>
      </w:r>
      <w:r w:rsidR="002D17EA">
        <w:rPr>
          <w:rFonts w:ascii="Arial" w:hAnsi="Arial" w:cs="Arial"/>
          <w:color w:val="auto"/>
        </w:rPr>
        <w:t>4.10.</w:t>
      </w:r>
      <w:r w:rsidR="00936F46" w:rsidRPr="00F0151C">
        <w:rPr>
          <w:rFonts w:ascii="Arial" w:hAnsi="Arial" w:cs="Arial"/>
          <w:color w:val="auto"/>
        </w:rPr>
        <w:t>202</w:t>
      </w:r>
      <w:r w:rsidR="00FD7FE9" w:rsidRPr="00F0151C">
        <w:rPr>
          <w:rFonts w:ascii="Arial" w:hAnsi="Arial" w:cs="Arial"/>
          <w:color w:val="auto"/>
        </w:rPr>
        <w:t>3</w:t>
      </w:r>
      <w:r w:rsidR="00936F46" w:rsidRPr="00F0151C">
        <w:rPr>
          <w:rFonts w:ascii="Arial" w:hAnsi="Arial" w:cs="Arial"/>
          <w:color w:val="auto"/>
        </w:rPr>
        <w:t xml:space="preserve"> r.</w:t>
      </w:r>
    </w:p>
    <w:p w14:paraId="00FD05C9" w14:textId="77777777" w:rsidR="007C25FB" w:rsidRPr="00F0151C" w:rsidRDefault="007C25FB" w:rsidP="003D312B">
      <w:pPr>
        <w:pStyle w:val="Standard"/>
        <w:tabs>
          <w:tab w:val="left" w:pos="426"/>
        </w:tabs>
        <w:spacing w:after="0" w:line="360" w:lineRule="auto"/>
        <w:jc w:val="both"/>
        <w:rPr>
          <w:rFonts w:ascii="Arial" w:hAnsi="Arial" w:cs="Arial"/>
          <w:color w:val="auto"/>
        </w:rPr>
      </w:pPr>
      <w:r w:rsidRPr="00F0151C">
        <w:rPr>
          <w:rFonts w:ascii="Arial" w:hAnsi="Arial" w:cs="Arial"/>
          <w:color w:val="auto"/>
        </w:rPr>
        <w:t>Protokół podpisały następujące osoby:</w:t>
      </w:r>
    </w:p>
    <w:tbl>
      <w:tblPr>
        <w:tblW w:w="91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421"/>
        <w:gridCol w:w="5244"/>
        <w:gridCol w:w="3466"/>
      </w:tblGrid>
      <w:tr w:rsidR="00F0151C" w:rsidRPr="00F0151C" w14:paraId="42FB4ECD" w14:textId="77777777" w:rsidTr="00EB2ECE">
        <w:trPr>
          <w:trHeight w:val="459"/>
          <w:jc w:val="center"/>
        </w:trPr>
        <w:tc>
          <w:tcPr>
            <w:tcW w:w="421"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05D3ADB0" w14:textId="77777777" w:rsidR="007C25FB" w:rsidRPr="00F0151C" w:rsidRDefault="007C25FB" w:rsidP="003D312B">
            <w:pPr>
              <w:pStyle w:val="Standard"/>
              <w:tabs>
                <w:tab w:val="left" w:pos="426"/>
              </w:tabs>
              <w:spacing w:after="0" w:line="360" w:lineRule="auto"/>
              <w:jc w:val="both"/>
              <w:rPr>
                <w:rFonts w:ascii="Arial" w:hAnsi="Arial" w:cs="Arial"/>
                <w:color w:val="auto"/>
              </w:rPr>
            </w:pPr>
            <w:r w:rsidRPr="00F0151C">
              <w:rPr>
                <w:rFonts w:ascii="Arial" w:hAnsi="Arial" w:cs="Arial"/>
                <w:color w:val="auto"/>
              </w:rPr>
              <w:t>Lp.</w:t>
            </w:r>
          </w:p>
        </w:tc>
        <w:tc>
          <w:tcPr>
            <w:tcW w:w="5244"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24BAFF39" w14:textId="77777777" w:rsidR="007C25FB" w:rsidRPr="00F0151C" w:rsidRDefault="007C25FB" w:rsidP="003D312B">
            <w:pPr>
              <w:pStyle w:val="Standard"/>
              <w:tabs>
                <w:tab w:val="left" w:pos="426"/>
              </w:tabs>
              <w:spacing w:after="0" w:line="360" w:lineRule="auto"/>
              <w:jc w:val="both"/>
              <w:rPr>
                <w:rFonts w:ascii="Arial" w:hAnsi="Arial" w:cs="Arial"/>
                <w:color w:val="auto"/>
              </w:rPr>
            </w:pPr>
            <w:r w:rsidRPr="00F0151C">
              <w:rPr>
                <w:rFonts w:ascii="Arial" w:hAnsi="Arial" w:cs="Arial"/>
                <w:color w:val="auto"/>
              </w:rPr>
              <w:t>Imię i nazwisko, Stanowisko</w:t>
            </w:r>
          </w:p>
        </w:tc>
        <w:tc>
          <w:tcPr>
            <w:tcW w:w="3466"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34DDFB37" w14:textId="77777777" w:rsidR="007C25FB" w:rsidRPr="00F0151C" w:rsidRDefault="007C25FB" w:rsidP="00EB2ECE">
            <w:pPr>
              <w:pStyle w:val="Standard"/>
              <w:tabs>
                <w:tab w:val="left" w:pos="426"/>
              </w:tabs>
              <w:spacing w:after="0" w:line="360" w:lineRule="auto"/>
              <w:jc w:val="center"/>
              <w:rPr>
                <w:rFonts w:ascii="Arial" w:hAnsi="Arial" w:cs="Arial"/>
                <w:color w:val="auto"/>
              </w:rPr>
            </w:pPr>
            <w:r w:rsidRPr="00F0151C">
              <w:rPr>
                <w:rFonts w:ascii="Arial" w:hAnsi="Arial" w:cs="Arial"/>
                <w:color w:val="auto"/>
              </w:rPr>
              <w:t>Podpis i pieczątka</w:t>
            </w:r>
          </w:p>
        </w:tc>
      </w:tr>
      <w:tr w:rsidR="00F0151C" w:rsidRPr="00F0151C" w14:paraId="55446BE3"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E0ADA30" w14:textId="77777777" w:rsidR="007C25FB" w:rsidRPr="00F0151C" w:rsidRDefault="007C25FB" w:rsidP="003D312B">
            <w:pPr>
              <w:pStyle w:val="Standard"/>
              <w:tabs>
                <w:tab w:val="left" w:pos="426"/>
              </w:tabs>
              <w:spacing w:line="360" w:lineRule="auto"/>
              <w:jc w:val="both"/>
              <w:rPr>
                <w:rFonts w:ascii="Arial" w:hAnsi="Arial" w:cs="Arial"/>
                <w:color w:val="auto"/>
              </w:rPr>
            </w:pPr>
            <w:r w:rsidRPr="00F0151C">
              <w:rPr>
                <w:rFonts w:ascii="Arial" w:hAnsi="Arial" w:cs="Arial"/>
                <w:color w:val="auto"/>
              </w:rPr>
              <w:t>1.</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1613F26" w14:textId="461FD97F" w:rsidR="007C25FB" w:rsidRPr="00F0151C" w:rsidRDefault="00DE0BC5" w:rsidP="00AF78FC">
            <w:pPr>
              <w:pStyle w:val="Standard"/>
              <w:tabs>
                <w:tab w:val="left" w:pos="426"/>
              </w:tabs>
              <w:spacing w:after="0" w:line="360" w:lineRule="auto"/>
              <w:rPr>
                <w:rFonts w:ascii="Arial" w:hAnsi="Arial" w:cs="Arial"/>
                <w:color w:val="auto"/>
              </w:rPr>
            </w:pPr>
            <w:r w:rsidRPr="00F0151C">
              <w:rPr>
                <w:rFonts w:ascii="Arial" w:hAnsi="Arial" w:cs="Arial"/>
                <w:color w:val="auto"/>
              </w:rPr>
              <w:t>Agata Goc</w:t>
            </w:r>
            <w:r w:rsidR="004E3ED1" w:rsidRPr="00F0151C">
              <w:rPr>
                <w:rFonts w:ascii="Arial" w:hAnsi="Arial" w:cs="Arial"/>
                <w:color w:val="auto"/>
              </w:rPr>
              <w:t xml:space="preserve"> </w:t>
            </w:r>
            <w:r w:rsidR="007C25FB" w:rsidRPr="00F0151C">
              <w:rPr>
                <w:rFonts w:ascii="Arial" w:hAnsi="Arial" w:cs="Arial"/>
                <w:color w:val="auto"/>
              </w:rPr>
              <w:t xml:space="preserve">– Dyrektor </w:t>
            </w:r>
            <w:r w:rsidRPr="00F0151C">
              <w:rPr>
                <w:rFonts w:ascii="Arial" w:hAnsi="Arial" w:cs="Arial"/>
                <w:color w:val="auto"/>
              </w:rPr>
              <w:t>Miejskiego Zarządu Budynków Mieszkalnych</w:t>
            </w:r>
            <w:r w:rsidR="000B4BFE" w:rsidRPr="00F0151C">
              <w:rPr>
                <w:rFonts w:ascii="Arial" w:hAnsi="Arial" w:cs="Arial"/>
                <w:color w:val="auto"/>
              </w:rPr>
              <w:t xml:space="preserve"> </w:t>
            </w:r>
            <w:r w:rsidR="000B4BFE" w:rsidRPr="00F0151C">
              <w:rPr>
                <w:rFonts w:ascii="Arial" w:hAnsi="Arial" w:cs="Arial"/>
                <w:color w:val="auto"/>
                <w:spacing w:val="-2"/>
              </w:rPr>
              <w:t>w</w:t>
            </w:r>
            <w:r w:rsidR="00A166F8" w:rsidRPr="00F0151C">
              <w:rPr>
                <w:rFonts w:ascii="Arial" w:hAnsi="Arial" w:cs="Arial"/>
                <w:color w:val="auto"/>
                <w:spacing w:val="-2"/>
              </w:rPr>
              <w:t> </w:t>
            </w:r>
            <w:r w:rsidR="000B4BFE" w:rsidRPr="00F0151C">
              <w:rPr>
                <w:rFonts w:ascii="Arial" w:hAnsi="Arial" w:cs="Arial"/>
                <w:color w:val="auto"/>
                <w:spacing w:val="-2"/>
              </w:rPr>
              <w:t>Tych</w:t>
            </w:r>
            <w:r w:rsidR="00CE22F1" w:rsidRPr="00F0151C">
              <w:rPr>
                <w:rFonts w:ascii="Arial" w:hAnsi="Arial" w:cs="Arial"/>
                <w:color w:val="auto"/>
              </w:rPr>
              <w:t>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AC07B3B" w14:textId="57F5AEEE" w:rsidR="007C25FB" w:rsidRPr="00F0151C" w:rsidRDefault="002D17EA"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D17EA">
              <w:rPr>
                <w:rFonts w:ascii="Arial" w:hAnsi="Arial" w:cs="Arial"/>
                <w:color w:val="auto"/>
              </w:rPr>
              <w:t>Agata Goc</w:t>
            </w:r>
          </w:p>
        </w:tc>
      </w:tr>
      <w:tr w:rsidR="00F0151C" w:rsidRPr="00F0151C" w14:paraId="6021ED00"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0FDB0050" w14:textId="7753FBE6" w:rsidR="007C25FB" w:rsidRPr="00F0151C" w:rsidRDefault="00DE0BC5" w:rsidP="003D312B">
            <w:pPr>
              <w:pStyle w:val="Standard"/>
              <w:tabs>
                <w:tab w:val="left" w:pos="426"/>
              </w:tabs>
              <w:spacing w:line="360" w:lineRule="auto"/>
              <w:jc w:val="both"/>
              <w:rPr>
                <w:rFonts w:ascii="Arial" w:hAnsi="Arial" w:cs="Arial"/>
                <w:color w:val="auto"/>
              </w:rPr>
            </w:pPr>
            <w:r w:rsidRPr="00F0151C">
              <w:rPr>
                <w:rFonts w:ascii="Arial" w:hAnsi="Arial" w:cs="Arial"/>
                <w:color w:val="auto"/>
              </w:rPr>
              <w:t>2.</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A7A718" w14:textId="46E4BDDE" w:rsidR="007C25FB" w:rsidRPr="00F0151C" w:rsidRDefault="00DE0BC5" w:rsidP="0098027C">
            <w:pPr>
              <w:pStyle w:val="Standard"/>
              <w:tabs>
                <w:tab w:val="left" w:pos="426"/>
              </w:tabs>
              <w:spacing w:after="0" w:line="360" w:lineRule="auto"/>
              <w:rPr>
                <w:rFonts w:ascii="Arial" w:hAnsi="Arial" w:cs="Arial"/>
                <w:color w:val="auto"/>
              </w:rPr>
            </w:pPr>
            <w:r w:rsidRPr="00F0151C">
              <w:rPr>
                <w:rFonts w:ascii="Arial" w:hAnsi="Arial" w:cs="Arial"/>
                <w:color w:val="auto"/>
              </w:rPr>
              <w:t>Iwona Kaczmarczyk</w:t>
            </w:r>
            <w:r w:rsidR="007C25FB" w:rsidRPr="00F0151C">
              <w:rPr>
                <w:rFonts w:ascii="Arial" w:hAnsi="Arial" w:cs="Arial"/>
                <w:color w:val="auto"/>
              </w:rPr>
              <w:t xml:space="preserve"> – Główna Księgowa </w:t>
            </w:r>
            <w:r w:rsidRPr="00F0151C">
              <w:rPr>
                <w:rFonts w:ascii="Arial" w:hAnsi="Arial" w:cs="Arial"/>
                <w:color w:val="auto"/>
              </w:rPr>
              <w:t xml:space="preserve">Miejskiego Zarządu Budynków Mieszkalnych </w:t>
            </w:r>
            <w:r w:rsidRPr="00F0151C">
              <w:rPr>
                <w:rFonts w:ascii="Arial" w:hAnsi="Arial" w:cs="Arial"/>
                <w:color w:val="auto"/>
                <w:spacing w:val="-2"/>
              </w:rPr>
              <w:t>w Tych</w:t>
            </w:r>
            <w:r w:rsidRPr="00F0151C">
              <w:rPr>
                <w:rFonts w:ascii="Arial" w:hAnsi="Arial" w:cs="Arial"/>
                <w:color w:val="auto"/>
              </w:rPr>
              <w:t>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C2401A" w14:textId="33ECAD2B" w:rsidR="007C25FB" w:rsidRPr="00F0151C" w:rsidRDefault="002D17EA"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D17EA">
              <w:rPr>
                <w:rFonts w:ascii="Arial" w:hAnsi="Arial" w:cs="Arial"/>
                <w:color w:val="auto"/>
              </w:rPr>
              <w:t>Iwona Kaczmarczyk</w:t>
            </w:r>
          </w:p>
        </w:tc>
      </w:tr>
      <w:tr w:rsidR="00F0151C" w:rsidRPr="00F0151C" w14:paraId="5E1ED242"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108E04C0" w14:textId="7E0EE9AF" w:rsidR="007C25FB" w:rsidRPr="00F0151C" w:rsidRDefault="00DE0BC5" w:rsidP="003D312B">
            <w:pPr>
              <w:pStyle w:val="Standard"/>
              <w:tabs>
                <w:tab w:val="left" w:pos="426"/>
              </w:tabs>
              <w:spacing w:line="360" w:lineRule="auto"/>
              <w:jc w:val="both"/>
              <w:rPr>
                <w:rFonts w:ascii="Arial" w:hAnsi="Arial" w:cs="Arial"/>
                <w:color w:val="auto"/>
              </w:rPr>
            </w:pPr>
            <w:r w:rsidRPr="00F0151C">
              <w:rPr>
                <w:rFonts w:ascii="Arial" w:hAnsi="Arial" w:cs="Arial"/>
                <w:color w:val="auto"/>
              </w:rPr>
              <w:t>3</w:t>
            </w:r>
            <w:r w:rsidR="007C25FB" w:rsidRPr="00F0151C">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358F4DF" w14:textId="0A14115F" w:rsidR="007C25FB" w:rsidRPr="00F0151C" w:rsidRDefault="004E3ED1" w:rsidP="00D03BA4">
            <w:pPr>
              <w:pStyle w:val="Standard"/>
              <w:tabs>
                <w:tab w:val="left" w:pos="426"/>
              </w:tabs>
              <w:spacing w:after="0" w:line="360" w:lineRule="auto"/>
              <w:rPr>
                <w:rFonts w:ascii="Arial" w:hAnsi="Arial" w:cs="Arial"/>
                <w:color w:val="auto"/>
                <w:spacing w:val="-2"/>
              </w:rPr>
            </w:pPr>
            <w:r w:rsidRPr="00F0151C">
              <w:rPr>
                <w:rFonts w:ascii="Arial" w:hAnsi="Arial" w:cs="Arial"/>
                <w:color w:val="auto"/>
                <w:spacing w:val="-2"/>
              </w:rPr>
              <w:t xml:space="preserve">Agnieszka </w:t>
            </w:r>
            <w:r w:rsidR="00DE0BC5" w:rsidRPr="00F0151C">
              <w:rPr>
                <w:rFonts w:ascii="Arial" w:hAnsi="Arial" w:cs="Arial"/>
                <w:color w:val="auto"/>
                <w:spacing w:val="-2"/>
              </w:rPr>
              <w:t>Olak</w:t>
            </w:r>
            <w:r w:rsidR="00D03BA4" w:rsidRPr="00F0151C">
              <w:rPr>
                <w:rFonts w:ascii="Arial" w:hAnsi="Arial" w:cs="Arial"/>
                <w:color w:val="auto"/>
                <w:spacing w:val="-2"/>
              </w:rPr>
              <w:t xml:space="preserve"> </w:t>
            </w:r>
            <w:r w:rsidR="007C25FB" w:rsidRPr="00F0151C">
              <w:rPr>
                <w:rFonts w:ascii="Arial" w:hAnsi="Arial" w:cs="Arial"/>
                <w:color w:val="auto"/>
                <w:spacing w:val="-2"/>
              </w:rPr>
              <w:t xml:space="preserve">– </w:t>
            </w:r>
            <w:r w:rsidR="00DE0BC5" w:rsidRPr="00F0151C">
              <w:rPr>
                <w:rFonts w:ascii="Arial" w:hAnsi="Arial" w:cs="Arial"/>
                <w:color w:val="auto"/>
                <w:spacing w:val="-2"/>
              </w:rPr>
              <w:t xml:space="preserve">Naczelnik </w:t>
            </w:r>
            <w:r w:rsidR="00DE0BC5" w:rsidRPr="00F0151C">
              <w:rPr>
                <w:rFonts w:ascii="Arial" w:hAnsi="Arial" w:cs="Arial"/>
                <w:color w:val="auto"/>
              </w:rPr>
              <w:t>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6B6CE8C" w14:textId="45911F7D" w:rsidR="007C25FB" w:rsidRPr="00F0151C" w:rsidRDefault="002D17EA"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D17EA">
              <w:rPr>
                <w:rFonts w:ascii="Arial" w:hAnsi="Arial" w:cs="Arial"/>
                <w:color w:val="auto"/>
              </w:rPr>
              <w:t xml:space="preserve">Agnieszka </w:t>
            </w:r>
            <w:proofErr w:type="spellStart"/>
            <w:r w:rsidRPr="002D17EA">
              <w:rPr>
                <w:rFonts w:ascii="Arial" w:hAnsi="Arial" w:cs="Arial"/>
                <w:color w:val="auto"/>
              </w:rPr>
              <w:t>Olak</w:t>
            </w:r>
            <w:proofErr w:type="spellEnd"/>
          </w:p>
        </w:tc>
      </w:tr>
      <w:tr w:rsidR="00F0151C" w:rsidRPr="00F0151C" w14:paraId="74F432DD"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75227D" w14:textId="78D09FE4" w:rsidR="00D03BA4" w:rsidRPr="00F0151C" w:rsidRDefault="00DE0BC5" w:rsidP="003D312B">
            <w:pPr>
              <w:pStyle w:val="Standard"/>
              <w:tabs>
                <w:tab w:val="left" w:pos="426"/>
              </w:tabs>
              <w:spacing w:line="360" w:lineRule="auto"/>
              <w:jc w:val="both"/>
              <w:rPr>
                <w:rFonts w:ascii="Arial" w:hAnsi="Arial" w:cs="Arial"/>
                <w:color w:val="auto"/>
              </w:rPr>
            </w:pPr>
            <w:r w:rsidRPr="00F0151C">
              <w:rPr>
                <w:rFonts w:ascii="Arial" w:hAnsi="Arial" w:cs="Arial"/>
                <w:color w:val="auto"/>
              </w:rPr>
              <w:t>4</w:t>
            </w:r>
            <w:r w:rsidR="00D03BA4" w:rsidRPr="00F0151C">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2BB9008F" w14:textId="75321F66" w:rsidR="00D03BA4" w:rsidRPr="00F0151C" w:rsidRDefault="008E0B4A" w:rsidP="0098027C">
            <w:pPr>
              <w:pStyle w:val="Standard"/>
              <w:tabs>
                <w:tab w:val="left" w:pos="426"/>
              </w:tabs>
              <w:spacing w:after="0" w:line="360" w:lineRule="auto"/>
              <w:rPr>
                <w:rFonts w:ascii="Arial" w:hAnsi="Arial" w:cs="Arial"/>
                <w:color w:val="auto"/>
              </w:rPr>
            </w:pPr>
            <w:r w:rsidRPr="00F0151C">
              <w:rPr>
                <w:rFonts w:ascii="Arial" w:hAnsi="Arial" w:cs="Arial"/>
                <w:color w:val="auto"/>
              </w:rPr>
              <w:t>Anna Wardzińska</w:t>
            </w:r>
            <w:r w:rsidR="00D03BA4" w:rsidRPr="00F0151C">
              <w:rPr>
                <w:rFonts w:ascii="Arial" w:hAnsi="Arial" w:cs="Arial"/>
                <w:color w:val="auto"/>
              </w:rPr>
              <w:t xml:space="preserve"> – </w:t>
            </w:r>
            <w:r w:rsidRPr="00F0151C">
              <w:rPr>
                <w:rFonts w:ascii="Arial" w:hAnsi="Arial" w:cs="Arial"/>
                <w:color w:val="auto"/>
              </w:rPr>
              <w:t>Główny Specjalista</w:t>
            </w:r>
            <w:r w:rsidR="00D03BA4" w:rsidRPr="00F0151C">
              <w:rPr>
                <w:rFonts w:ascii="Arial" w:hAnsi="Arial" w:cs="Arial"/>
                <w:color w:val="auto"/>
              </w:rPr>
              <w:t xml:space="preserve"> 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3573E0B" w14:textId="4BBCB6CE" w:rsidR="00D03BA4" w:rsidRPr="00F0151C" w:rsidRDefault="002D17EA"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D17EA">
              <w:rPr>
                <w:rFonts w:ascii="Arial" w:hAnsi="Arial" w:cs="Arial"/>
                <w:color w:val="auto"/>
              </w:rPr>
              <w:t>Anna Wardzińska</w:t>
            </w:r>
          </w:p>
        </w:tc>
      </w:tr>
      <w:tr w:rsidR="00F0151C" w:rsidRPr="00F0151C" w14:paraId="7D863310"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75046B0" w14:textId="7C8928D2" w:rsidR="007C25FB" w:rsidRPr="00F0151C" w:rsidRDefault="00DE0BC5" w:rsidP="003D312B">
            <w:pPr>
              <w:pStyle w:val="Standard"/>
              <w:tabs>
                <w:tab w:val="left" w:pos="426"/>
              </w:tabs>
              <w:spacing w:line="360" w:lineRule="auto"/>
              <w:jc w:val="both"/>
              <w:rPr>
                <w:rFonts w:ascii="Arial" w:hAnsi="Arial" w:cs="Arial"/>
                <w:color w:val="auto"/>
              </w:rPr>
            </w:pPr>
            <w:r w:rsidRPr="00F0151C">
              <w:rPr>
                <w:rFonts w:ascii="Arial" w:hAnsi="Arial" w:cs="Arial"/>
                <w:color w:val="auto"/>
              </w:rPr>
              <w:t>5</w:t>
            </w:r>
            <w:r w:rsidR="007C25FB" w:rsidRPr="00F0151C">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B4B843" w14:textId="77777777" w:rsidR="007C25FB" w:rsidRPr="00F0151C" w:rsidRDefault="00D03BA4" w:rsidP="00D03BA4">
            <w:pPr>
              <w:pStyle w:val="Standard"/>
              <w:tabs>
                <w:tab w:val="left" w:pos="426"/>
              </w:tabs>
              <w:spacing w:after="0" w:line="360" w:lineRule="auto"/>
              <w:rPr>
                <w:rFonts w:ascii="Arial" w:hAnsi="Arial" w:cs="Arial"/>
                <w:color w:val="auto"/>
              </w:rPr>
            </w:pPr>
            <w:r w:rsidRPr="00F0151C">
              <w:rPr>
                <w:rFonts w:ascii="Arial" w:hAnsi="Arial" w:cs="Arial"/>
                <w:color w:val="auto"/>
              </w:rPr>
              <w:t>Agnieszka Szymańska</w:t>
            </w:r>
            <w:r w:rsidR="007C25FB" w:rsidRPr="00F0151C">
              <w:rPr>
                <w:rFonts w:ascii="Arial" w:hAnsi="Arial" w:cs="Arial"/>
                <w:color w:val="auto"/>
              </w:rPr>
              <w:t xml:space="preserve"> –</w:t>
            </w:r>
            <w:r w:rsidR="001447EE" w:rsidRPr="00F0151C">
              <w:rPr>
                <w:rFonts w:ascii="Arial" w:hAnsi="Arial" w:cs="Arial"/>
                <w:color w:val="auto"/>
              </w:rPr>
              <w:t xml:space="preserve"> </w:t>
            </w:r>
            <w:r w:rsidRPr="00F0151C">
              <w:rPr>
                <w:rFonts w:ascii="Arial" w:hAnsi="Arial" w:cs="Arial"/>
                <w:color w:val="auto"/>
              </w:rPr>
              <w:t>Główny Specjalista</w:t>
            </w:r>
            <w:r w:rsidR="001447EE" w:rsidRPr="00F0151C">
              <w:rPr>
                <w:rFonts w:ascii="Arial" w:hAnsi="Arial" w:cs="Arial"/>
                <w:color w:val="auto"/>
              </w:rPr>
              <w:t xml:space="preserve"> </w:t>
            </w:r>
            <w:r w:rsidR="007C25FB" w:rsidRPr="00F0151C">
              <w:rPr>
                <w:rFonts w:ascii="Arial" w:hAnsi="Arial" w:cs="Arial"/>
                <w:color w:val="auto"/>
              </w:rPr>
              <w:t>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90DB283" w14:textId="6088C591" w:rsidR="007C25FB" w:rsidRPr="00F0151C" w:rsidRDefault="002D17EA"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D17EA">
              <w:rPr>
                <w:rFonts w:ascii="Arial" w:hAnsi="Arial" w:cs="Arial"/>
                <w:color w:val="auto"/>
              </w:rPr>
              <w:t>Agnieszka Szymańska</w:t>
            </w:r>
          </w:p>
        </w:tc>
      </w:tr>
    </w:tbl>
    <w:p w14:paraId="64929253" w14:textId="77777777" w:rsidR="00676891" w:rsidRPr="00F0151C" w:rsidRDefault="00676891" w:rsidP="00505AB6">
      <w:pPr>
        <w:spacing w:line="360" w:lineRule="auto"/>
        <w:jc w:val="both"/>
        <w:rPr>
          <w:color w:val="auto"/>
        </w:rPr>
      </w:pPr>
    </w:p>
    <w:sectPr w:rsidR="00676891" w:rsidRPr="00F0151C" w:rsidSect="004C5705">
      <w:footerReference w:type="default" r:id="rId9"/>
      <w:pgSz w:w="11906" w:h="16838"/>
      <w:pgMar w:top="1418" w:right="1134" w:bottom="708" w:left="184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8C0C" w14:textId="77777777" w:rsidR="002348DB" w:rsidRPr="008327F1" w:rsidRDefault="002348DB" w:rsidP="00BD2101">
      <w:pPr>
        <w:spacing w:after="0" w:line="240" w:lineRule="auto"/>
      </w:pPr>
      <w:r w:rsidRPr="008327F1">
        <w:separator/>
      </w:r>
    </w:p>
  </w:endnote>
  <w:endnote w:type="continuationSeparator" w:id="0">
    <w:p w14:paraId="27DC17C6" w14:textId="77777777" w:rsidR="002348DB" w:rsidRPr="008327F1" w:rsidRDefault="002348DB" w:rsidP="00BD2101">
      <w:pPr>
        <w:spacing w:after="0" w:line="240" w:lineRule="auto"/>
      </w:pPr>
      <w:r w:rsidRPr="008327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Andale Sans UI">
    <w:altName w:val="Arial Unicode MS"/>
    <w:panose1 w:val="00000000000000000000"/>
    <w:charset w:val="00"/>
    <w:family w:val="roman"/>
    <w:notTrueType/>
    <w:pitch w:val="default"/>
  </w:font>
  <w:font w:name="Liberation Sans">
    <w:charset w:val="EE"/>
    <w:family w:val="swiss"/>
    <w:pitch w:val="variable"/>
    <w:sig w:usb0="E0000AFF" w:usb1="500078FF" w:usb2="00000021" w:usb3="00000000" w:csb0="000001BF" w:csb1="00000000"/>
  </w:font>
  <w:font w:name="inherit">
    <w:altName w:val="Times New Roman"/>
    <w:charset w:val="EE"/>
    <w:family w:val="roman"/>
    <w:pitch w:val="variable"/>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08D" w14:textId="77777777" w:rsidR="002348DB" w:rsidRPr="008327F1" w:rsidRDefault="002A1A5C">
    <w:pPr>
      <w:pStyle w:val="Stopka"/>
      <w:jc w:val="center"/>
      <w:rPr>
        <w:rFonts w:ascii="Arial" w:hAnsi="Arial" w:cs="Arial"/>
        <w:sz w:val="22"/>
        <w:szCs w:val="22"/>
        <w:lang w:val="pl-PL"/>
      </w:rPr>
    </w:pPr>
    <w:r w:rsidRPr="008327F1">
      <w:rPr>
        <w:rFonts w:ascii="Arial" w:hAnsi="Arial" w:cs="Arial"/>
        <w:sz w:val="22"/>
        <w:szCs w:val="22"/>
        <w:lang w:val="pl-PL"/>
      </w:rPr>
      <w:fldChar w:fldCharType="begin"/>
    </w:r>
    <w:r w:rsidR="002348DB" w:rsidRPr="008327F1">
      <w:rPr>
        <w:rFonts w:ascii="Arial" w:hAnsi="Arial" w:cs="Arial"/>
        <w:sz w:val="22"/>
        <w:szCs w:val="22"/>
        <w:lang w:val="pl-PL"/>
      </w:rPr>
      <w:instrText>PAGE</w:instrText>
    </w:r>
    <w:r w:rsidRPr="008327F1">
      <w:rPr>
        <w:rFonts w:ascii="Arial" w:hAnsi="Arial" w:cs="Arial"/>
        <w:sz w:val="22"/>
        <w:szCs w:val="22"/>
        <w:lang w:val="pl-PL"/>
      </w:rPr>
      <w:fldChar w:fldCharType="separate"/>
    </w:r>
    <w:r w:rsidR="00351A97" w:rsidRPr="008327F1">
      <w:rPr>
        <w:rFonts w:ascii="Arial" w:hAnsi="Arial" w:cs="Arial"/>
        <w:sz w:val="22"/>
        <w:szCs w:val="22"/>
        <w:lang w:val="pl-PL"/>
      </w:rPr>
      <w:t>24</w:t>
    </w:r>
    <w:r w:rsidRPr="008327F1">
      <w:rPr>
        <w:rFonts w:ascii="Arial" w:hAnsi="Arial" w:cs="Arial"/>
        <w:sz w:val="22"/>
        <w:szCs w:val="22"/>
        <w:lang w:val="pl-PL"/>
      </w:rPr>
      <w:fldChar w:fldCharType="end"/>
    </w:r>
  </w:p>
  <w:p w14:paraId="606BB06C" w14:textId="77777777" w:rsidR="002348DB" w:rsidRPr="008327F1" w:rsidRDefault="002348DB">
    <w:pPr>
      <w:pStyle w:val="Stopka"/>
      <w:spacing w:line="240" w:lineRule="auto"/>
      <w:jc w:val="center"/>
      <w:rPr>
        <w:rFonts w:ascii="Arial" w:hAnsi="Arial" w:cs="Arial"/>
        <w:iCs/>
        <w:sz w:val="16"/>
        <w:szCs w:val="16"/>
        <w:lang w:val="pl-PL"/>
      </w:rPr>
    </w:pPr>
    <w:r w:rsidRPr="008327F1">
      <w:rPr>
        <w:rFonts w:ascii="Arial" w:hAnsi="Arial" w:cs="Arial"/>
        <w:iCs/>
        <w:sz w:val="16"/>
        <w:szCs w:val="16"/>
        <w:lang w:val="pl-PL"/>
      </w:rPr>
      <w:t>Urząd Miasta Tychy,</w:t>
    </w:r>
  </w:p>
  <w:p w14:paraId="1E5BF8DA" w14:textId="77777777" w:rsidR="002348DB" w:rsidRPr="008327F1" w:rsidRDefault="002348DB">
    <w:pPr>
      <w:pStyle w:val="Stopka"/>
      <w:spacing w:line="240" w:lineRule="auto"/>
      <w:jc w:val="center"/>
      <w:rPr>
        <w:rFonts w:ascii="Arial" w:hAnsi="Arial" w:cs="Arial"/>
        <w:iCs/>
        <w:sz w:val="16"/>
        <w:szCs w:val="16"/>
        <w:lang w:val="pl-PL"/>
      </w:rPr>
    </w:pPr>
    <w:r w:rsidRPr="008327F1">
      <w:rPr>
        <w:rFonts w:ascii="Arial" w:hAnsi="Arial" w:cs="Arial"/>
        <w:iCs/>
        <w:sz w:val="16"/>
        <w:szCs w:val="16"/>
        <w:lang w:val="pl-PL"/>
      </w:rPr>
      <w:t>Wydział Kontroli,</w:t>
    </w:r>
  </w:p>
  <w:p w14:paraId="49667FF6" w14:textId="77777777" w:rsidR="002348DB" w:rsidRPr="008327F1" w:rsidRDefault="002D17EA">
    <w:pPr>
      <w:pStyle w:val="Stopka"/>
      <w:spacing w:line="240" w:lineRule="auto"/>
      <w:jc w:val="center"/>
      <w:rPr>
        <w:lang w:val="pl-PL"/>
      </w:rPr>
    </w:pPr>
    <w:hyperlink r:id="rId1">
      <w:r w:rsidR="002348DB" w:rsidRPr="008327F1">
        <w:rPr>
          <w:rStyle w:val="czeinternetowe"/>
          <w:sz w:val="16"/>
          <w:szCs w:val="16"/>
          <w:lang w:val="pl-PL"/>
        </w:rPr>
        <w:t>www.umtychy.pl</w:t>
      </w:r>
    </w:hyperlink>
  </w:p>
  <w:p w14:paraId="7C47E61E" w14:textId="77777777" w:rsidR="002348DB" w:rsidRPr="008327F1" w:rsidRDefault="002348DB">
    <w:pPr>
      <w:pStyle w:val="Stopka"/>
      <w:jc w:val="center"/>
      <w:rPr>
        <w:lang w:val="pl-PL"/>
      </w:rPr>
    </w:pPr>
  </w:p>
  <w:p w14:paraId="6D54005C" w14:textId="77777777" w:rsidR="002348DB" w:rsidRPr="008327F1" w:rsidRDefault="002348DB">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6E57" w14:textId="77777777" w:rsidR="002348DB" w:rsidRPr="008327F1" w:rsidRDefault="002348DB" w:rsidP="00BD2101">
      <w:pPr>
        <w:spacing w:after="0" w:line="240" w:lineRule="auto"/>
      </w:pPr>
      <w:r w:rsidRPr="008327F1">
        <w:separator/>
      </w:r>
    </w:p>
  </w:footnote>
  <w:footnote w:type="continuationSeparator" w:id="0">
    <w:p w14:paraId="7F013CA8" w14:textId="77777777" w:rsidR="002348DB" w:rsidRPr="008327F1" w:rsidRDefault="002348DB" w:rsidP="00BD2101">
      <w:pPr>
        <w:spacing w:after="0" w:line="240" w:lineRule="auto"/>
      </w:pPr>
      <w:r w:rsidRPr="008327F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72"/>
    <w:multiLevelType w:val="hybridMultilevel"/>
    <w:tmpl w:val="D60895F0"/>
    <w:lvl w:ilvl="0" w:tplc="79C03A18">
      <w:start w:val="1"/>
      <w:numFmt w:val="bullet"/>
      <w:lvlText w:val="­"/>
      <w:lvlJc w:val="left"/>
      <w:pPr>
        <w:ind w:left="1440" w:hanging="360"/>
      </w:pPr>
      <w:rPr>
        <w:rFonts w:ascii="Sylfaen" w:hAnsi="Sylfaen" w:hint="default"/>
        <w:b/>
        <w:bC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A90AF1"/>
    <w:multiLevelType w:val="hybridMultilevel"/>
    <w:tmpl w:val="6AA48BEA"/>
    <w:lvl w:ilvl="0" w:tplc="095088DA">
      <w:start w:val="5"/>
      <w:numFmt w:val="decimal"/>
      <w:lvlText w:val="%1."/>
      <w:lvlJc w:val="left"/>
      <w:pPr>
        <w:ind w:left="36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0210C"/>
    <w:multiLevelType w:val="hybridMultilevel"/>
    <w:tmpl w:val="DBC2425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063D769D"/>
    <w:multiLevelType w:val="hybridMultilevel"/>
    <w:tmpl w:val="507643CA"/>
    <w:lvl w:ilvl="0" w:tplc="FAB6B8F0">
      <w:start w:val="1"/>
      <w:numFmt w:val="low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82AC7"/>
    <w:multiLevelType w:val="hybridMultilevel"/>
    <w:tmpl w:val="4DBED616"/>
    <w:lvl w:ilvl="0" w:tplc="1BF848BE">
      <w:start w:val="1"/>
      <w:numFmt w:val="decimal"/>
      <w:lvlText w:val="%1."/>
      <w:lvlJc w:val="left"/>
      <w:pPr>
        <w:ind w:left="360" w:hanging="360"/>
      </w:pPr>
      <w:rPr>
        <w:b/>
        <w:bCs/>
      </w:rPr>
    </w:lvl>
    <w:lvl w:ilvl="1" w:tplc="F526790A">
      <w:start w:val="1"/>
      <w:numFmt w:val="upp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82DBE"/>
    <w:multiLevelType w:val="hybridMultilevel"/>
    <w:tmpl w:val="3C4818B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BBD7CA7"/>
    <w:multiLevelType w:val="hybridMultilevel"/>
    <w:tmpl w:val="C04CB46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00D055E"/>
    <w:multiLevelType w:val="hybridMultilevel"/>
    <w:tmpl w:val="82209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DE00EA"/>
    <w:multiLevelType w:val="hybridMultilevel"/>
    <w:tmpl w:val="7844328C"/>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3960A4B"/>
    <w:multiLevelType w:val="hybridMultilevel"/>
    <w:tmpl w:val="23107E2E"/>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0" w15:restartNumberingAfterBreak="0">
    <w:nsid w:val="13E612D1"/>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1288"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11" w15:restartNumberingAfterBreak="0">
    <w:nsid w:val="144D79FC"/>
    <w:multiLevelType w:val="hybridMultilevel"/>
    <w:tmpl w:val="FA0C5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525B0"/>
    <w:multiLevelType w:val="hybridMultilevel"/>
    <w:tmpl w:val="1794D5F4"/>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2D5A28"/>
    <w:multiLevelType w:val="hybridMultilevel"/>
    <w:tmpl w:val="CBE25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15A49"/>
    <w:multiLevelType w:val="hybridMultilevel"/>
    <w:tmpl w:val="CCE637EA"/>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A566E2"/>
    <w:multiLevelType w:val="hybridMultilevel"/>
    <w:tmpl w:val="E7847AC2"/>
    <w:lvl w:ilvl="0" w:tplc="FB34A32E">
      <w:start w:val="1"/>
      <w:numFmt w:val="decimal"/>
      <w:lvlText w:val="%1."/>
      <w:lvlJc w:val="left"/>
      <w:pPr>
        <w:ind w:left="1168" w:hanging="360"/>
      </w:pPr>
      <w:rPr>
        <w:b/>
        <w:bCs w:val="0"/>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6" w15:restartNumberingAfterBreak="0">
    <w:nsid w:val="2056315C"/>
    <w:multiLevelType w:val="hybridMultilevel"/>
    <w:tmpl w:val="C1D82FC2"/>
    <w:styleLink w:val="Zaimportowanystyl6"/>
    <w:lvl w:ilvl="0" w:tplc="80B649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67D0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0F76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EC8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EA91E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1869A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CD5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48A54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4E4A6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11D1B24"/>
    <w:multiLevelType w:val="hybridMultilevel"/>
    <w:tmpl w:val="69D45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45166F"/>
    <w:multiLevelType w:val="hybridMultilevel"/>
    <w:tmpl w:val="8FD45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D0D5F"/>
    <w:multiLevelType w:val="hybridMultilevel"/>
    <w:tmpl w:val="C33EC60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01D94"/>
    <w:multiLevelType w:val="hybridMultilevel"/>
    <w:tmpl w:val="C7EC4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10404"/>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1288"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22" w15:restartNumberingAfterBreak="0">
    <w:nsid w:val="27A8010C"/>
    <w:multiLevelType w:val="hybridMultilevel"/>
    <w:tmpl w:val="A25421CC"/>
    <w:styleLink w:val="Zaimportowanystyl7"/>
    <w:lvl w:ilvl="0" w:tplc="18FE38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3856B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8D91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01B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6DC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5A8E9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2A3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4484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F3A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8416E71"/>
    <w:multiLevelType w:val="hybridMultilevel"/>
    <w:tmpl w:val="4D2AA44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7848B9"/>
    <w:multiLevelType w:val="hybridMultilevel"/>
    <w:tmpl w:val="584CD64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F87724"/>
    <w:multiLevelType w:val="hybridMultilevel"/>
    <w:tmpl w:val="6C2689EA"/>
    <w:lvl w:ilvl="0" w:tplc="687E0374">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9AC789D"/>
    <w:multiLevelType w:val="hybridMultilevel"/>
    <w:tmpl w:val="D5000466"/>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C0783F"/>
    <w:multiLevelType w:val="hybridMultilevel"/>
    <w:tmpl w:val="3C26C622"/>
    <w:lvl w:ilvl="0" w:tplc="4AC49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1B530E"/>
    <w:multiLevelType w:val="hybridMultilevel"/>
    <w:tmpl w:val="F000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770372"/>
    <w:multiLevelType w:val="hybridMultilevel"/>
    <w:tmpl w:val="381AC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98630B"/>
    <w:multiLevelType w:val="hybridMultilevel"/>
    <w:tmpl w:val="D888606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38562A"/>
    <w:multiLevelType w:val="hybridMultilevel"/>
    <w:tmpl w:val="D9D45820"/>
    <w:lvl w:ilvl="0" w:tplc="D8B6622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00055B"/>
    <w:multiLevelType w:val="multilevel"/>
    <w:tmpl w:val="56B6170E"/>
    <w:lvl w:ilvl="0">
      <w:start w:val="1"/>
      <w:numFmt w:val="bullet"/>
      <w:lvlText w:val=""/>
      <w:lvlJc w:val="left"/>
      <w:pPr>
        <w:ind w:left="644" w:hanging="360"/>
      </w:pPr>
      <w:rPr>
        <w:rFonts w:ascii="Symbol" w:hAnsi="Symbol" w:cs="Symbol" w:hint="default"/>
        <w:color w:val="000000" w:themeColor="text1"/>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16C324A"/>
    <w:multiLevelType w:val="multilevel"/>
    <w:tmpl w:val="2C40EC18"/>
    <w:lvl w:ilvl="0">
      <w:start w:val="1"/>
      <w:numFmt w:val="decimal"/>
      <w:lvlText w:val="%1."/>
      <w:lvlJc w:val="left"/>
      <w:pPr>
        <w:ind w:left="720" w:hanging="360"/>
      </w:pPr>
    </w:lvl>
    <w:lvl w:ilvl="1">
      <w:start w:val="4"/>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4" w15:restartNumberingAfterBreak="0">
    <w:nsid w:val="33F626A0"/>
    <w:multiLevelType w:val="hybridMultilevel"/>
    <w:tmpl w:val="56848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3C3B4F"/>
    <w:multiLevelType w:val="hybridMultilevel"/>
    <w:tmpl w:val="0E60F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AF7A55"/>
    <w:multiLevelType w:val="multilevel"/>
    <w:tmpl w:val="04E654FC"/>
    <w:lvl w:ilvl="0">
      <w:start w:val="1"/>
      <w:numFmt w:val="decimal"/>
      <w:lvlText w:val="%1."/>
      <w:lvlJc w:val="left"/>
      <w:pPr>
        <w:ind w:left="720" w:hanging="360"/>
      </w:pPr>
      <w:rPr>
        <w:b/>
        <w:color w:val="auto"/>
      </w:rPr>
    </w:lvl>
    <w:lvl w:ilvl="1">
      <w:start w:val="4"/>
      <w:numFmt w:val="decimal"/>
      <w:isLgl/>
      <w:lvlText w:val="%1.%2."/>
      <w:lvlJc w:val="left"/>
      <w:pPr>
        <w:ind w:left="1080" w:hanging="360"/>
      </w:pPr>
      <w:rPr>
        <w:rFonts w:eastAsia="Times New Roman" w:hint="default"/>
        <w:b/>
        <w:bCs w:val="0"/>
      </w:rPr>
    </w:lvl>
    <w:lvl w:ilvl="2">
      <w:start w:val="1"/>
      <w:numFmt w:val="decimal"/>
      <w:isLgl/>
      <w:lvlText w:val="%1.%2.%3."/>
      <w:lvlJc w:val="left"/>
      <w:pPr>
        <w:ind w:left="1800" w:hanging="720"/>
      </w:pPr>
      <w:rPr>
        <w:rFonts w:eastAsia="Times New Roman" w:hint="default"/>
        <w:b/>
        <w:bCs/>
        <w:color w:val="auto"/>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7" w15:restartNumberingAfterBreak="0">
    <w:nsid w:val="3F82214B"/>
    <w:multiLevelType w:val="multilevel"/>
    <w:tmpl w:val="DB18E67C"/>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A52A1B"/>
    <w:multiLevelType w:val="hybridMultilevel"/>
    <w:tmpl w:val="63342376"/>
    <w:lvl w:ilvl="0" w:tplc="D8B6622E">
      <w:start w:val="1"/>
      <w:numFmt w:val="decimal"/>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183733C"/>
    <w:multiLevelType w:val="hybridMultilevel"/>
    <w:tmpl w:val="EEF83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45E1E20"/>
    <w:multiLevelType w:val="hybridMultilevel"/>
    <w:tmpl w:val="1BE2289C"/>
    <w:lvl w:ilvl="0" w:tplc="F35EF8DC">
      <w:start w:val="1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D35BBE"/>
    <w:multiLevelType w:val="hybridMultilevel"/>
    <w:tmpl w:val="8418FFD0"/>
    <w:lvl w:ilvl="0" w:tplc="B9BE4FB0">
      <w:start w:val="1"/>
      <w:numFmt w:val="bullet"/>
      <w:lvlText w:val=""/>
      <w:lvlJc w:val="left"/>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8D0926"/>
    <w:multiLevelType w:val="multilevel"/>
    <w:tmpl w:val="5EA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774D5E"/>
    <w:multiLevelType w:val="hybridMultilevel"/>
    <w:tmpl w:val="4C9ED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AB76E8"/>
    <w:multiLevelType w:val="hybridMultilevel"/>
    <w:tmpl w:val="9C502DBA"/>
    <w:lvl w:ilvl="0" w:tplc="A25893DA">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5" w15:restartNumberingAfterBreak="0">
    <w:nsid w:val="50C26BDB"/>
    <w:multiLevelType w:val="hybridMultilevel"/>
    <w:tmpl w:val="DBF60CDE"/>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417FA7"/>
    <w:multiLevelType w:val="hybridMultilevel"/>
    <w:tmpl w:val="B888B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6FE24B9"/>
    <w:multiLevelType w:val="hybridMultilevel"/>
    <w:tmpl w:val="21DE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232CBB"/>
    <w:multiLevelType w:val="hybridMultilevel"/>
    <w:tmpl w:val="1D6E6F00"/>
    <w:lvl w:ilvl="0" w:tplc="2A346CE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842335"/>
    <w:multiLevelType w:val="hybridMultilevel"/>
    <w:tmpl w:val="33E68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95345"/>
    <w:multiLevelType w:val="hybridMultilevel"/>
    <w:tmpl w:val="8160E0C6"/>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5E2826"/>
    <w:multiLevelType w:val="hybridMultilevel"/>
    <w:tmpl w:val="BD563A9A"/>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F5E6FE7"/>
    <w:multiLevelType w:val="hybridMultilevel"/>
    <w:tmpl w:val="9A100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2B80B43"/>
    <w:multiLevelType w:val="multilevel"/>
    <w:tmpl w:val="825A5A4E"/>
    <w:lvl w:ilvl="0">
      <w:start w:val="4"/>
      <w:numFmt w:val="decimal"/>
      <w:lvlText w:val="%1"/>
      <w:lvlJc w:val="left"/>
      <w:pPr>
        <w:ind w:left="360" w:hanging="360"/>
      </w:pPr>
      <w:rPr>
        <w:rFonts w:eastAsia="Segoe UI" w:hint="default"/>
        <w:b/>
      </w:rPr>
    </w:lvl>
    <w:lvl w:ilvl="1">
      <w:start w:val="3"/>
      <w:numFmt w:val="decimal"/>
      <w:lvlText w:val="%1.%2"/>
      <w:lvlJc w:val="left"/>
      <w:pPr>
        <w:ind w:left="720" w:hanging="360"/>
      </w:pPr>
      <w:rPr>
        <w:rFonts w:eastAsia="Segoe UI" w:hint="default"/>
        <w:b/>
      </w:rPr>
    </w:lvl>
    <w:lvl w:ilvl="2">
      <w:start w:val="1"/>
      <w:numFmt w:val="decimal"/>
      <w:lvlText w:val="%1.%2.%3"/>
      <w:lvlJc w:val="left"/>
      <w:pPr>
        <w:ind w:left="1440" w:hanging="720"/>
      </w:pPr>
      <w:rPr>
        <w:rFonts w:eastAsia="Segoe UI" w:hint="default"/>
        <w:b/>
      </w:rPr>
    </w:lvl>
    <w:lvl w:ilvl="3">
      <w:start w:val="1"/>
      <w:numFmt w:val="decimal"/>
      <w:lvlText w:val="%1.%2.%3.%4"/>
      <w:lvlJc w:val="left"/>
      <w:pPr>
        <w:ind w:left="1800" w:hanging="720"/>
      </w:pPr>
      <w:rPr>
        <w:rFonts w:eastAsia="Segoe UI" w:hint="default"/>
        <w:b/>
      </w:rPr>
    </w:lvl>
    <w:lvl w:ilvl="4">
      <w:start w:val="1"/>
      <w:numFmt w:val="decimal"/>
      <w:lvlText w:val="%1.%2.%3.%4.%5"/>
      <w:lvlJc w:val="left"/>
      <w:pPr>
        <w:ind w:left="2520" w:hanging="1080"/>
      </w:pPr>
      <w:rPr>
        <w:rFonts w:eastAsia="Segoe UI" w:hint="default"/>
        <w:b/>
      </w:rPr>
    </w:lvl>
    <w:lvl w:ilvl="5">
      <w:start w:val="1"/>
      <w:numFmt w:val="decimal"/>
      <w:lvlText w:val="%1.%2.%3.%4.%5.%6"/>
      <w:lvlJc w:val="left"/>
      <w:pPr>
        <w:ind w:left="2880" w:hanging="1080"/>
      </w:pPr>
      <w:rPr>
        <w:rFonts w:eastAsia="Segoe UI" w:hint="default"/>
        <w:b/>
      </w:rPr>
    </w:lvl>
    <w:lvl w:ilvl="6">
      <w:start w:val="1"/>
      <w:numFmt w:val="decimal"/>
      <w:lvlText w:val="%1.%2.%3.%4.%5.%6.%7"/>
      <w:lvlJc w:val="left"/>
      <w:pPr>
        <w:ind w:left="3600" w:hanging="1440"/>
      </w:pPr>
      <w:rPr>
        <w:rFonts w:eastAsia="Segoe UI" w:hint="default"/>
        <w:b/>
      </w:rPr>
    </w:lvl>
    <w:lvl w:ilvl="7">
      <w:start w:val="1"/>
      <w:numFmt w:val="decimal"/>
      <w:lvlText w:val="%1.%2.%3.%4.%5.%6.%7.%8"/>
      <w:lvlJc w:val="left"/>
      <w:pPr>
        <w:ind w:left="3960" w:hanging="1440"/>
      </w:pPr>
      <w:rPr>
        <w:rFonts w:eastAsia="Segoe UI" w:hint="default"/>
        <w:b/>
      </w:rPr>
    </w:lvl>
    <w:lvl w:ilvl="8">
      <w:start w:val="1"/>
      <w:numFmt w:val="decimal"/>
      <w:lvlText w:val="%1.%2.%3.%4.%5.%6.%7.%8.%9"/>
      <w:lvlJc w:val="left"/>
      <w:pPr>
        <w:ind w:left="4680" w:hanging="1800"/>
      </w:pPr>
      <w:rPr>
        <w:rFonts w:eastAsia="Segoe UI" w:hint="default"/>
        <w:b/>
      </w:rPr>
    </w:lvl>
  </w:abstractNum>
  <w:abstractNum w:abstractNumId="54" w15:restartNumberingAfterBreak="0">
    <w:nsid w:val="631F5CAD"/>
    <w:multiLevelType w:val="hybridMultilevel"/>
    <w:tmpl w:val="38FC6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0E10EF"/>
    <w:multiLevelType w:val="hybridMultilevel"/>
    <w:tmpl w:val="9EA00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909B5"/>
    <w:multiLevelType w:val="hybridMultilevel"/>
    <w:tmpl w:val="8410C526"/>
    <w:lvl w:ilvl="0" w:tplc="04150001">
      <w:start w:val="1"/>
      <w:numFmt w:val="bullet"/>
      <w:lvlText w:val=""/>
      <w:lvlJc w:val="left"/>
      <w:pPr>
        <w:ind w:left="1168" w:hanging="360"/>
      </w:pPr>
      <w:rPr>
        <w:rFonts w:ascii="Symbol" w:hAnsi="Symbol" w:hint="default"/>
      </w:rPr>
    </w:lvl>
    <w:lvl w:ilvl="1" w:tplc="04150003" w:tentative="1">
      <w:start w:val="1"/>
      <w:numFmt w:val="bullet"/>
      <w:lvlText w:val="o"/>
      <w:lvlJc w:val="left"/>
      <w:pPr>
        <w:ind w:left="1888" w:hanging="360"/>
      </w:pPr>
      <w:rPr>
        <w:rFonts w:ascii="Courier New" w:hAnsi="Courier New" w:cs="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57" w15:restartNumberingAfterBreak="0">
    <w:nsid w:val="6D9E1669"/>
    <w:multiLevelType w:val="multilevel"/>
    <w:tmpl w:val="ED9E7D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708E36C4"/>
    <w:multiLevelType w:val="hybridMultilevel"/>
    <w:tmpl w:val="74A20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0F83CDA"/>
    <w:multiLevelType w:val="hybridMultilevel"/>
    <w:tmpl w:val="7B803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822EE0"/>
    <w:multiLevelType w:val="hybridMultilevel"/>
    <w:tmpl w:val="939AF752"/>
    <w:lvl w:ilvl="0" w:tplc="2A346CE6">
      <w:start w:val="1"/>
      <w:numFmt w:val="bullet"/>
      <w:lvlText w:val=""/>
      <w:lvlJc w:val="left"/>
      <w:rPr>
        <w:rFonts w:ascii="Symbol" w:hAnsi="Symbol" w:hint="default"/>
        <w:color w:val="auto"/>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61" w15:restartNumberingAfterBreak="0">
    <w:nsid w:val="739D1D46"/>
    <w:multiLevelType w:val="hybridMultilevel"/>
    <w:tmpl w:val="6584F518"/>
    <w:styleLink w:val="Zaimportowanystyl4"/>
    <w:lvl w:ilvl="0" w:tplc="3FD2C4D0">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E8C80A">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EC8B78">
      <w:start w:val="1"/>
      <w:numFmt w:val="decimal"/>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C4D2BA">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70EAAC">
      <w:start w:val="1"/>
      <w:numFmt w:val="decimal"/>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0DC1E">
      <w:start w:val="1"/>
      <w:numFmt w:val="decimal"/>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ED1CE">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727A72">
      <w:start w:val="1"/>
      <w:numFmt w:val="decimal"/>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6B142">
      <w:start w:val="1"/>
      <w:numFmt w:val="decimal"/>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56A294C"/>
    <w:multiLevelType w:val="hybridMultilevel"/>
    <w:tmpl w:val="D37604C6"/>
    <w:lvl w:ilvl="0" w:tplc="79C03A18">
      <w:start w:val="1"/>
      <w:numFmt w:val="bullet"/>
      <w:lvlText w:val="­"/>
      <w:lvlJc w:val="left"/>
      <w:pPr>
        <w:ind w:left="720" w:hanging="360"/>
      </w:pPr>
      <w:rPr>
        <w:rFonts w:ascii="Sylfaen" w:hAnsi="Sylfae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282039"/>
    <w:multiLevelType w:val="hybridMultilevel"/>
    <w:tmpl w:val="45C2B6E6"/>
    <w:lvl w:ilvl="0" w:tplc="3F78741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DD2866"/>
    <w:multiLevelType w:val="multilevel"/>
    <w:tmpl w:val="2CD69CE2"/>
    <w:lvl w:ilvl="0">
      <w:start w:val="5"/>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71195A"/>
    <w:multiLevelType w:val="hybridMultilevel"/>
    <w:tmpl w:val="0AACBAAA"/>
    <w:lvl w:ilvl="0" w:tplc="04150001">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1A4CAE"/>
    <w:multiLevelType w:val="hybridMultilevel"/>
    <w:tmpl w:val="8E803A2C"/>
    <w:lvl w:ilvl="0" w:tplc="31FA8AEE">
      <w:numFmt w:val="decimal"/>
      <w:lvlText w:val=""/>
      <w:lvlJc w:val="left"/>
      <w:pPr>
        <w:ind w:left="36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D254F7C"/>
    <w:multiLevelType w:val="hybridMultilevel"/>
    <w:tmpl w:val="1800F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905019">
    <w:abstractNumId w:val="10"/>
  </w:num>
  <w:num w:numId="2" w16cid:durableId="1569728498">
    <w:abstractNumId w:val="57"/>
  </w:num>
  <w:num w:numId="3" w16cid:durableId="182331320">
    <w:abstractNumId w:val="32"/>
  </w:num>
  <w:num w:numId="4" w16cid:durableId="1615020257">
    <w:abstractNumId w:val="37"/>
  </w:num>
  <w:num w:numId="5" w16cid:durableId="936207439">
    <w:abstractNumId w:val="64"/>
  </w:num>
  <w:num w:numId="6" w16cid:durableId="207886437">
    <w:abstractNumId w:val="9"/>
  </w:num>
  <w:num w:numId="7" w16cid:durableId="540703127">
    <w:abstractNumId w:val="38"/>
  </w:num>
  <w:num w:numId="8" w16cid:durableId="341972847">
    <w:abstractNumId w:val="59"/>
  </w:num>
  <w:num w:numId="9" w16cid:durableId="1373766638">
    <w:abstractNumId w:val="61"/>
  </w:num>
  <w:num w:numId="10" w16cid:durableId="1811633842">
    <w:abstractNumId w:val="16"/>
  </w:num>
  <w:num w:numId="11" w16cid:durableId="1023290200">
    <w:abstractNumId w:val="22"/>
  </w:num>
  <w:num w:numId="12" w16cid:durableId="2099598900">
    <w:abstractNumId w:val="56"/>
  </w:num>
  <w:num w:numId="13" w16cid:durableId="754286152">
    <w:abstractNumId w:val="1"/>
  </w:num>
  <w:num w:numId="14" w16cid:durableId="113601160">
    <w:abstractNumId w:val="19"/>
  </w:num>
  <w:num w:numId="15" w16cid:durableId="815995219">
    <w:abstractNumId w:val="30"/>
  </w:num>
  <w:num w:numId="16" w16cid:durableId="364869300">
    <w:abstractNumId w:val="26"/>
  </w:num>
  <w:num w:numId="17" w16cid:durableId="1435708852">
    <w:abstractNumId w:val="60"/>
  </w:num>
  <w:num w:numId="18" w16cid:durableId="639312339">
    <w:abstractNumId w:val="41"/>
  </w:num>
  <w:num w:numId="19" w16cid:durableId="13016132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739770">
    <w:abstractNumId w:val="63"/>
  </w:num>
  <w:num w:numId="21" w16cid:durableId="521824782">
    <w:abstractNumId w:val="66"/>
  </w:num>
  <w:num w:numId="22" w16cid:durableId="1698196635">
    <w:abstractNumId w:val="47"/>
  </w:num>
  <w:num w:numId="23" w16cid:durableId="1642417134">
    <w:abstractNumId w:val="15"/>
  </w:num>
  <w:num w:numId="24" w16cid:durableId="786894908">
    <w:abstractNumId w:val="8"/>
  </w:num>
  <w:num w:numId="25" w16cid:durableId="1913465964">
    <w:abstractNumId w:val="3"/>
  </w:num>
  <w:num w:numId="26" w16cid:durableId="1934776032">
    <w:abstractNumId w:val="18"/>
  </w:num>
  <w:num w:numId="27" w16cid:durableId="364720928">
    <w:abstractNumId w:val="36"/>
  </w:num>
  <w:num w:numId="28" w16cid:durableId="2144809541">
    <w:abstractNumId w:val="48"/>
  </w:num>
  <w:num w:numId="29" w16cid:durableId="1550801283">
    <w:abstractNumId w:val="45"/>
  </w:num>
  <w:num w:numId="30" w16cid:durableId="1938245774">
    <w:abstractNumId w:val="24"/>
  </w:num>
  <w:num w:numId="31" w16cid:durableId="1156605598">
    <w:abstractNumId w:val="12"/>
  </w:num>
  <w:num w:numId="32" w16cid:durableId="1221477688">
    <w:abstractNumId w:val="42"/>
  </w:num>
  <w:num w:numId="33" w16cid:durableId="938876336">
    <w:abstractNumId w:val="14"/>
  </w:num>
  <w:num w:numId="34" w16cid:durableId="945380249">
    <w:abstractNumId w:val="34"/>
  </w:num>
  <w:num w:numId="35" w16cid:durableId="855003046">
    <w:abstractNumId w:val="51"/>
  </w:num>
  <w:num w:numId="36" w16cid:durableId="720520397">
    <w:abstractNumId w:val="23"/>
  </w:num>
  <w:num w:numId="37" w16cid:durableId="195579166">
    <w:abstractNumId w:val="33"/>
  </w:num>
  <w:num w:numId="38" w16cid:durableId="1554462150">
    <w:abstractNumId w:val="28"/>
  </w:num>
  <w:num w:numId="39" w16cid:durableId="1916739071">
    <w:abstractNumId w:val="5"/>
  </w:num>
  <w:num w:numId="40" w16cid:durableId="150491530">
    <w:abstractNumId w:val="58"/>
  </w:num>
  <w:num w:numId="41" w16cid:durableId="1798916097">
    <w:abstractNumId w:val="27"/>
  </w:num>
  <w:num w:numId="42" w16cid:durableId="118498454">
    <w:abstractNumId w:val="31"/>
  </w:num>
  <w:num w:numId="43" w16cid:durableId="1144927461">
    <w:abstractNumId w:val="35"/>
  </w:num>
  <w:num w:numId="44" w16cid:durableId="1639453879">
    <w:abstractNumId w:val="13"/>
  </w:num>
  <w:num w:numId="45" w16cid:durableId="1671449442">
    <w:abstractNumId w:val="65"/>
  </w:num>
  <w:num w:numId="46" w16cid:durableId="1178692192">
    <w:abstractNumId w:val="54"/>
  </w:num>
  <w:num w:numId="47" w16cid:durableId="909197488">
    <w:abstractNumId w:val="0"/>
  </w:num>
  <w:num w:numId="48" w16cid:durableId="112796778">
    <w:abstractNumId w:val="62"/>
  </w:num>
  <w:num w:numId="49" w16cid:durableId="848955861">
    <w:abstractNumId w:val="4"/>
  </w:num>
  <w:num w:numId="50" w16cid:durableId="595989090">
    <w:abstractNumId w:val="67"/>
  </w:num>
  <w:num w:numId="51" w16cid:durableId="256599107">
    <w:abstractNumId w:val="29"/>
  </w:num>
  <w:num w:numId="52" w16cid:durableId="1069763729">
    <w:abstractNumId w:val="20"/>
  </w:num>
  <w:num w:numId="53" w16cid:durableId="965698819">
    <w:abstractNumId w:val="55"/>
  </w:num>
  <w:num w:numId="54" w16cid:durableId="118450782">
    <w:abstractNumId w:val="2"/>
  </w:num>
  <w:num w:numId="55" w16cid:durableId="1695424463">
    <w:abstractNumId w:val="44"/>
  </w:num>
  <w:num w:numId="56" w16cid:durableId="1967471148">
    <w:abstractNumId w:val="46"/>
  </w:num>
  <w:num w:numId="57" w16cid:durableId="1495800036">
    <w:abstractNumId w:val="7"/>
  </w:num>
  <w:num w:numId="58" w16cid:durableId="516231248">
    <w:abstractNumId w:val="6"/>
  </w:num>
  <w:num w:numId="59" w16cid:durableId="111557215">
    <w:abstractNumId w:val="39"/>
  </w:num>
  <w:num w:numId="60" w16cid:durableId="261913543">
    <w:abstractNumId w:val="52"/>
  </w:num>
  <w:num w:numId="61" w16cid:durableId="1653866896">
    <w:abstractNumId w:val="17"/>
  </w:num>
  <w:num w:numId="62" w16cid:durableId="780418298">
    <w:abstractNumId w:val="50"/>
  </w:num>
  <w:num w:numId="63" w16cid:durableId="523908244">
    <w:abstractNumId w:val="40"/>
  </w:num>
  <w:num w:numId="64" w16cid:durableId="1330867730">
    <w:abstractNumId w:val="21"/>
  </w:num>
  <w:num w:numId="65" w16cid:durableId="1947954695">
    <w:abstractNumId w:val="53"/>
  </w:num>
  <w:num w:numId="66" w16cid:durableId="584535363">
    <w:abstractNumId w:val="49"/>
  </w:num>
  <w:num w:numId="67" w16cid:durableId="632322398">
    <w:abstractNumId w:val="43"/>
  </w:num>
  <w:num w:numId="68" w16cid:durableId="5251214">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FB"/>
    <w:rsid w:val="00001A33"/>
    <w:rsid w:val="00003BD2"/>
    <w:rsid w:val="00004A96"/>
    <w:rsid w:val="00004F95"/>
    <w:rsid w:val="00005DA2"/>
    <w:rsid w:val="00005E8D"/>
    <w:rsid w:val="000062C2"/>
    <w:rsid w:val="000062E1"/>
    <w:rsid w:val="00006BE2"/>
    <w:rsid w:val="00007DAC"/>
    <w:rsid w:val="00010497"/>
    <w:rsid w:val="00011C86"/>
    <w:rsid w:val="00012158"/>
    <w:rsid w:val="00012403"/>
    <w:rsid w:val="00013912"/>
    <w:rsid w:val="00014D53"/>
    <w:rsid w:val="00015938"/>
    <w:rsid w:val="00015CF1"/>
    <w:rsid w:val="000167A4"/>
    <w:rsid w:val="00016B0F"/>
    <w:rsid w:val="00017154"/>
    <w:rsid w:val="0001724A"/>
    <w:rsid w:val="00017909"/>
    <w:rsid w:val="00017BB9"/>
    <w:rsid w:val="000208B6"/>
    <w:rsid w:val="000210FF"/>
    <w:rsid w:val="00021880"/>
    <w:rsid w:val="000227D7"/>
    <w:rsid w:val="00022A01"/>
    <w:rsid w:val="00023D85"/>
    <w:rsid w:val="00024C47"/>
    <w:rsid w:val="00026000"/>
    <w:rsid w:val="00026BF1"/>
    <w:rsid w:val="00027680"/>
    <w:rsid w:val="00031120"/>
    <w:rsid w:val="00031CED"/>
    <w:rsid w:val="000325F8"/>
    <w:rsid w:val="000333CE"/>
    <w:rsid w:val="00034671"/>
    <w:rsid w:val="000353EF"/>
    <w:rsid w:val="0004165B"/>
    <w:rsid w:val="00041AAA"/>
    <w:rsid w:val="0004235A"/>
    <w:rsid w:val="00043A62"/>
    <w:rsid w:val="00043B3B"/>
    <w:rsid w:val="00045303"/>
    <w:rsid w:val="00046459"/>
    <w:rsid w:val="0004664E"/>
    <w:rsid w:val="00046C1A"/>
    <w:rsid w:val="0005138E"/>
    <w:rsid w:val="0005150B"/>
    <w:rsid w:val="00051658"/>
    <w:rsid w:val="00051857"/>
    <w:rsid w:val="00052397"/>
    <w:rsid w:val="00053DD9"/>
    <w:rsid w:val="000547F7"/>
    <w:rsid w:val="000552E3"/>
    <w:rsid w:val="000557C3"/>
    <w:rsid w:val="00055D80"/>
    <w:rsid w:val="000575FC"/>
    <w:rsid w:val="00057671"/>
    <w:rsid w:val="00060189"/>
    <w:rsid w:val="000602A1"/>
    <w:rsid w:val="00060ACF"/>
    <w:rsid w:val="00061131"/>
    <w:rsid w:val="0006122F"/>
    <w:rsid w:val="00061873"/>
    <w:rsid w:val="00061F03"/>
    <w:rsid w:val="00061F5D"/>
    <w:rsid w:val="000629AE"/>
    <w:rsid w:val="00062A62"/>
    <w:rsid w:val="00063454"/>
    <w:rsid w:val="000645C4"/>
    <w:rsid w:val="00064C65"/>
    <w:rsid w:val="00065322"/>
    <w:rsid w:val="00072E20"/>
    <w:rsid w:val="00072E89"/>
    <w:rsid w:val="0007302F"/>
    <w:rsid w:val="00073378"/>
    <w:rsid w:val="00073CED"/>
    <w:rsid w:val="00074572"/>
    <w:rsid w:val="00074632"/>
    <w:rsid w:val="00075437"/>
    <w:rsid w:val="00075ED0"/>
    <w:rsid w:val="000772A1"/>
    <w:rsid w:val="00077C58"/>
    <w:rsid w:val="0008170E"/>
    <w:rsid w:val="0008209B"/>
    <w:rsid w:val="00085CDE"/>
    <w:rsid w:val="00085F0F"/>
    <w:rsid w:val="00086712"/>
    <w:rsid w:val="0009070A"/>
    <w:rsid w:val="00090A7D"/>
    <w:rsid w:val="000945C1"/>
    <w:rsid w:val="000945FF"/>
    <w:rsid w:val="00095A05"/>
    <w:rsid w:val="00095C38"/>
    <w:rsid w:val="000A00F5"/>
    <w:rsid w:val="000A07AA"/>
    <w:rsid w:val="000A1ABC"/>
    <w:rsid w:val="000A1B8A"/>
    <w:rsid w:val="000A230A"/>
    <w:rsid w:val="000A3900"/>
    <w:rsid w:val="000A3DA0"/>
    <w:rsid w:val="000A47C9"/>
    <w:rsid w:val="000A4F25"/>
    <w:rsid w:val="000A52AD"/>
    <w:rsid w:val="000A5532"/>
    <w:rsid w:val="000A5803"/>
    <w:rsid w:val="000A6C8E"/>
    <w:rsid w:val="000A70A5"/>
    <w:rsid w:val="000B0E3B"/>
    <w:rsid w:val="000B16C5"/>
    <w:rsid w:val="000B19B1"/>
    <w:rsid w:val="000B2151"/>
    <w:rsid w:val="000B301A"/>
    <w:rsid w:val="000B3F44"/>
    <w:rsid w:val="000B4137"/>
    <w:rsid w:val="000B4BFE"/>
    <w:rsid w:val="000B5A76"/>
    <w:rsid w:val="000B60B9"/>
    <w:rsid w:val="000B741C"/>
    <w:rsid w:val="000B7832"/>
    <w:rsid w:val="000B790B"/>
    <w:rsid w:val="000B7A13"/>
    <w:rsid w:val="000B7B82"/>
    <w:rsid w:val="000C0376"/>
    <w:rsid w:val="000C04E2"/>
    <w:rsid w:val="000C0AF7"/>
    <w:rsid w:val="000C11F6"/>
    <w:rsid w:val="000C15F6"/>
    <w:rsid w:val="000C1777"/>
    <w:rsid w:val="000C1A1B"/>
    <w:rsid w:val="000C32E3"/>
    <w:rsid w:val="000C38D2"/>
    <w:rsid w:val="000C404D"/>
    <w:rsid w:val="000C59A2"/>
    <w:rsid w:val="000C5C84"/>
    <w:rsid w:val="000C6936"/>
    <w:rsid w:val="000C718D"/>
    <w:rsid w:val="000C73AD"/>
    <w:rsid w:val="000C743B"/>
    <w:rsid w:val="000C743C"/>
    <w:rsid w:val="000D0201"/>
    <w:rsid w:val="000D1ED1"/>
    <w:rsid w:val="000D2038"/>
    <w:rsid w:val="000D4564"/>
    <w:rsid w:val="000D7C54"/>
    <w:rsid w:val="000E137A"/>
    <w:rsid w:val="000E19F1"/>
    <w:rsid w:val="000E22F9"/>
    <w:rsid w:val="000E2CBE"/>
    <w:rsid w:val="000E3C71"/>
    <w:rsid w:val="000E4596"/>
    <w:rsid w:val="000E4BAC"/>
    <w:rsid w:val="000E6217"/>
    <w:rsid w:val="000E636F"/>
    <w:rsid w:val="000E7AB0"/>
    <w:rsid w:val="000F0D06"/>
    <w:rsid w:val="000F0F12"/>
    <w:rsid w:val="000F23EE"/>
    <w:rsid w:val="000F3655"/>
    <w:rsid w:val="000F5F29"/>
    <w:rsid w:val="00100AB5"/>
    <w:rsid w:val="00100CAC"/>
    <w:rsid w:val="0010194B"/>
    <w:rsid w:val="00101FBA"/>
    <w:rsid w:val="00104DE5"/>
    <w:rsid w:val="001062F7"/>
    <w:rsid w:val="00106343"/>
    <w:rsid w:val="00106B47"/>
    <w:rsid w:val="00111043"/>
    <w:rsid w:val="0011133A"/>
    <w:rsid w:val="001121E6"/>
    <w:rsid w:val="0011290A"/>
    <w:rsid w:val="001130D5"/>
    <w:rsid w:val="00113578"/>
    <w:rsid w:val="00113F0E"/>
    <w:rsid w:val="00115B3D"/>
    <w:rsid w:val="00121B23"/>
    <w:rsid w:val="00121F25"/>
    <w:rsid w:val="00122490"/>
    <w:rsid w:val="001233CC"/>
    <w:rsid w:val="0012376B"/>
    <w:rsid w:val="0012382B"/>
    <w:rsid w:val="00124316"/>
    <w:rsid w:val="00124B40"/>
    <w:rsid w:val="00125871"/>
    <w:rsid w:val="001258B7"/>
    <w:rsid w:val="00126179"/>
    <w:rsid w:val="0012790E"/>
    <w:rsid w:val="00127A60"/>
    <w:rsid w:val="00130624"/>
    <w:rsid w:val="00130845"/>
    <w:rsid w:val="00130F64"/>
    <w:rsid w:val="0013373D"/>
    <w:rsid w:val="00133B5A"/>
    <w:rsid w:val="00135D1E"/>
    <w:rsid w:val="00136FD3"/>
    <w:rsid w:val="0014112B"/>
    <w:rsid w:val="001419D8"/>
    <w:rsid w:val="0014217E"/>
    <w:rsid w:val="00142B6F"/>
    <w:rsid w:val="00142FF0"/>
    <w:rsid w:val="00143293"/>
    <w:rsid w:val="00143E36"/>
    <w:rsid w:val="00144438"/>
    <w:rsid w:val="001447EE"/>
    <w:rsid w:val="0014516F"/>
    <w:rsid w:val="001466C7"/>
    <w:rsid w:val="00146940"/>
    <w:rsid w:val="00146FB9"/>
    <w:rsid w:val="001471E2"/>
    <w:rsid w:val="001474B4"/>
    <w:rsid w:val="001477ED"/>
    <w:rsid w:val="00147ED0"/>
    <w:rsid w:val="00147F37"/>
    <w:rsid w:val="001509D2"/>
    <w:rsid w:val="00150F58"/>
    <w:rsid w:val="00150F6C"/>
    <w:rsid w:val="0015277A"/>
    <w:rsid w:val="00152D65"/>
    <w:rsid w:val="00154428"/>
    <w:rsid w:val="00154586"/>
    <w:rsid w:val="001549B8"/>
    <w:rsid w:val="00154E22"/>
    <w:rsid w:val="00154FB9"/>
    <w:rsid w:val="0015521B"/>
    <w:rsid w:val="00155AD1"/>
    <w:rsid w:val="0016288E"/>
    <w:rsid w:val="0016322E"/>
    <w:rsid w:val="00163888"/>
    <w:rsid w:val="0016492C"/>
    <w:rsid w:val="001649A7"/>
    <w:rsid w:val="00165BC7"/>
    <w:rsid w:val="00166863"/>
    <w:rsid w:val="00166CC1"/>
    <w:rsid w:val="001715A4"/>
    <w:rsid w:val="00171C9C"/>
    <w:rsid w:val="00173683"/>
    <w:rsid w:val="00173D15"/>
    <w:rsid w:val="001750B7"/>
    <w:rsid w:val="00176D91"/>
    <w:rsid w:val="00176E52"/>
    <w:rsid w:val="00176F2C"/>
    <w:rsid w:val="00177058"/>
    <w:rsid w:val="00180A4F"/>
    <w:rsid w:val="00181C29"/>
    <w:rsid w:val="001821B9"/>
    <w:rsid w:val="00182AF3"/>
    <w:rsid w:val="00185ECC"/>
    <w:rsid w:val="0018798A"/>
    <w:rsid w:val="00187BF5"/>
    <w:rsid w:val="00190BDC"/>
    <w:rsid w:val="00191055"/>
    <w:rsid w:val="00191A8C"/>
    <w:rsid w:val="00191DDD"/>
    <w:rsid w:val="0019274F"/>
    <w:rsid w:val="00193709"/>
    <w:rsid w:val="001952CF"/>
    <w:rsid w:val="00196D7D"/>
    <w:rsid w:val="00197E20"/>
    <w:rsid w:val="001A03DB"/>
    <w:rsid w:val="001A0D9E"/>
    <w:rsid w:val="001A0F29"/>
    <w:rsid w:val="001A1DE7"/>
    <w:rsid w:val="001A2D53"/>
    <w:rsid w:val="001A4753"/>
    <w:rsid w:val="001A5156"/>
    <w:rsid w:val="001A709C"/>
    <w:rsid w:val="001A72EB"/>
    <w:rsid w:val="001A74D0"/>
    <w:rsid w:val="001A7DD9"/>
    <w:rsid w:val="001B0700"/>
    <w:rsid w:val="001B0BCA"/>
    <w:rsid w:val="001B15A4"/>
    <w:rsid w:val="001B1F57"/>
    <w:rsid w:val="001B4614"/>
    <w:rsid w:val="001B4A8A"/>
    <w:rsid w:val="001B6147"/>
    <w:rsid w:val="001B7263"/>
    <w:rsid w:val="001C011F"/>
    <w:rsid w:val="001C13C8"/>
    <w:rsid w:val="001C14E3"/>
    <w:rsid w:val="001C1AAE"/>
    <w:rsid w:val="001C1E6E"/>
    <w:rsid w:val="001C284B"/>
    <w:rsid w:val="001C539B"/>
    <w:rsid w:val="001C595A"/>
    <w:rsid w:val="001C7488"/>
    <w:rsid w:val="001C7BFC"/>
    <w:rsid w:val="001C7C12"/>
    <w:rsid w:val="001D1A15"/>
    <w:rsid w:val="001D22B6"/>
    <w:rsid w:val="001D34C2"/>
    <w:rsid w:val="001D35FF"/>
    <w:rsid w:val="001D3BC4"/>
    <w:rsid w:val="001D3DA7"/>
    <w:rsid w:val="001E0436"/>
    <w:rsid w:val="001E13AE"/>
    <w:rsid w:val="001E1CB7"/>
    <w:rsid w:val="001E2FBE"/>
    <w:rsid w:val="001E4FAE"/>
    <w:rsid w:val="001E68D5"/>
    <w:rsid w:val="001E7F83"/>
    <w:rsid w:val="001F0342"/>
    <w:rsid w:val="001F0ABF"/>
    <w:rsid w:val="001F0B5A"/>
    <w:rsid w:val="001F12F4"/>
    <w:rsid w:val="001F2AF7"/>
    <w:rsid w:val="001F3629"/>
    <w:rsid w:val="001F463C"/>
    <w:rsid w:val="001F5B9B"/>
    <w:rsid w:val="001F722F"/>
    <w:rsid w:val="001F76BD"/>
    <w:rsid w:val="001F7EF3"/>
    <w:rsid w:val="002005BA"/>
    <w:rsid w:val="00201C33"/>
    <w:rsid w:val="00202E76"/>
    <w:rsid w:val="002043B4"/>
    <w:rsid w:val="00204634"/>
    <w:rsid w:val="00204BC5"/>
    <w:rsid w:val="00204F4A"/>
    <w:rsid w:val="002065E2"/>
    <w:rsid w:val="00210702"/>
    <w:rsid w:val="00210B3C"/>
    <w:rsid w:val="00211991"/>
    <w:rsid w:val="00211F30"/>
    <w:rsid w:val="00212D01"/>
    <w:rsid w:val="00213FAC"/>
    <w:rsid w:val="00214524"/>
    <w:rsid w:val="0021507B"/>
    <w:rsid w:val="00215605"/>
    <w:rsid w:val="00215D55"/>
    <w:rsid w:val="0021775A"/>
    <w:rsid w:val="00217DD6"/>
    <w:rsid w:val="00220124"/>
    <w:rsid w:val="00220E1F"/>
    <w:rsid w:val="0022223F"/>
    <w:rsid w:val="00222757"/>
    <w:rsid w:val="002230CE"/>
    <w:rsid w:val="00223512"/>
    <w:rsid w:val="00223C80"/>
    <w:rsid w:val="00226040"/>
    <w:rsid w:val="00226EF4"/>
    <w:rsid w:val="002271BF"/>
    <w:rsid w:val="00227266"/>
    <w:rsid w:val="00227DF5"/>
    <w:rsid w:val="002300C1"/>
    <w:rsid w:val="00230698"/>
    <w:rsid w:val="00231084"/>
    <w:rsid w:val="002319A1"/>
    <w:rsid w:val="002323D8"/>
    <w:rsid w:val="00232710"/>
    <w:rsid w:val="00232DF1"/>
    <w:rsid w:val="002348DB"/>
    <w:rsid w:val="002350B3"/>
    <w:rsid w:val="002356C3"/>
    <w:rsid w:val="0023599E"/>
    <w:rsid w:val="00236A84"/>
    <w:rsid w:val="00237859"/>
    <w:rsid w:val="00237E4A"/>
    <w:rsid w:val="00237F14"/>
    <w:rsid w:val="00241CBD"/>
    <w:rsid w:val="00241DF8"/>
    <w:rsid w:val="002438CE"/>
    <w:rsid w:val="00244D7E"/>
    <w:rsid w:val="00244E27"/>
    <w:rsid w:val="0024515A"/>
    <w:rsid w:val="0024577F"/>
    <w:rsid w:val="0024669A"/>
    <w:rsid w:val="00246A29"/>
    <w:rsid w:val="00246FF0"/>
    <w:rsid w:val="00247CDA"/>
    <w:rsid w:val="00250A55"/>
    <w:rsid w:val="0025180B"/>
    <w:rsid w:val="00251DFE"/>
    <w:rsid w:val="00252E1E"/>
    <w:rsid w:val="002532C3"/>
    <w:rsid w:val="00253C34"/>
    <w:rsid w:val="00253F4B"/>
    <w:rsid w:val="00255D0C"/>
    <w:rsid w:val="002566F9"/>
    <w:rsid w:val="002578AC"/>
    <w:rsid w:val="00260A85"/>
    <w:rsid w:val="00261898"/>
    <w:rsid w:val="00261D79"/>
    <w:rsid w:val="00262113"/>
    <w:rsid w:val="00263AB1"/>
    <w:rsid w:val="00264126"/>
    <w:rsid w:val="0026445A"/>
    <w:rsid w:val="00264886"/>
    <w:rsid w:val="00264D15"/>
    <w:rsid w:val="0026529F"/>
    <w:rsid w:val="00266303"/>
    <w:rsid w:val="0026760F"/>
    <w:rsid w:val="00267E77"/>
    <w:rsid w:val="00267EF9"/>
    <w:rsid w:val="00270320"/>
    <w:rsid w:val="0027177C"/>
    <w:rsid w:val="00271D25"/>
    <w:rsid w:val="00272223"/>
    <w:rsid w:val="002734C5"/>
    <w:rsid w:val="00274A4A"/>
    <w:rsid w:val="00274B67"/>
    <w:rsid w:val="00275C88"/>
    <w:rsid w:val="00276270"/>
    <w:rsid w:val="002771CA"/>
    <w:rsid w:val="00277E41"/>
    <w:rsid w:val="002809C2"/>
    <w:rsid w:val="00280FC7"/>
    <w:rsid w:val="00281864"/>
    <w:rsid w:val="00281F17"/>
    <w:rsid w:val="002827FF"/>
    <w:rsid w:val="00282A8F"/>
    <w:rsid w:val="002834F9"/>
    <w:rsid w:val="002838DE"/>
    <w:rsid w:val="002847ED"/>
    <w:rsid w:val="00284B2F"/>
    <w:rsid w:val="00285E7D"/>
    <w:rsid w:val="00286FFE"/>
    <w:rsid w:val="002871FA"/>
    <w:rsid w:val="00287B32"/>
    <w:rsid w:val="00290048"/>
    <w:rsid w:val="00290DB3"/>
    <w:rsid w:val="00291CC7"/>
    <w:rsid w:val="0029223E"/>
    <w:rsid w:val="00292853"/>
    <w:rsid w:val="00292B76"/>
    <w:rsid w:val="00292C46"/>
    <w:rsid w:val="002938A8"/>
    <w:rsid w:val="00294A36"/>
    <w:rsid w:val="00295C43"/>
    <w:rsid w:val="00296CC7"/>
    <w:rsid w:val="00296F06"/>
    <w:rsid w:val="00297248"/>
    <w:rsid w:val="002A0470"/>
    <w:rsid w:val="002A1391"/>
    <w:rsid w:val="002A1A5C"/>
    <w:rsid w:val="002A3354"/>
    <w:rsid w:val="002A3870"/>
    <w:rsid w:val="002A43D7"/>
    <w:rsid w:val="002A4A0D"/>
    <w:rsid w:val="002A5454"/>
    <w:rsid w:val="002A5E96"/>
    <w:rsid w:val="002A6408"/>
    <w:rsid w:val="002A6425"/>
    <w:rsid w:val="002A784A"/>
    <w:rsid w:val="002A7DFF"/>
    <w:rsid w:val="002B083D"/>
    <w:rsid w:val="002B119A"/>
    <w:rsid w:val="002B1828"/>
    <w:rsid w:val="002B2D78"/>
    <w:rsid w:val="002B2D9F"/>
    <w:rsid w:val="002B3360"/>
    <w:rsid w:val="002B3F87"/>
    <w:rsid w:val="002B51A3"/>
    <w:rsid w:val="002B5A4E"/>
    <w:rsid w:val="002B5C96"/>
    <w:rsid w:val="002B6C52"/>
    <w:rsid w:val="002B7167"/>
    <w:rsid w:val="002C2900"/>
    <w:rsid w:val="002C29AF"/>
    <w:rsid w:val="002C32F3"/>
    <w:rsid w:val="002C35DC"/>
    <w:rsid w:val="002C3D6A"/>
    <w:rsid w:val="002C5A5F"/>
    <w:rsid w:val="002C6A2A"/>
    <w:rsid w:val="002C77BF"/>
    <w:rsid w:val="002D17EA"/>
    <w:rsid w:val="002D2E5B"/>
    <w:rsid w:val="002D2FEE"/>
    <w:rsid w:val="002D571A"/>
    <w:rsid w:val="002D5C25"/>
    <w:rsid w:val="002D663F"/>
    <w:rsid w:val="002D7213"/>
    <w:rsid w:val="002E0B3D"/>
    <w:rsid w:val="002E0F95"/>
    <w:rsid w:val="002E4A91"/>
    <w:rsid w:val="002E5072"/>
    <w:rsid w:val="002E52B7"/>
    <w:rsid w:val="002E7E29"/>
    <w:rsid w:val="002F0452"/>
    <w:rsid w:val="002F055E"/>
    <w:rsid w:val="002F0DA9"/>
    <w:rsid w:val="002F1317"/>
    <w:rsid w:val="002F1E67"/>
    <w:rsid w:val="002F55BC"/>
    <w:rsid w:val="002F657E"/>
    <w:rsid w:val="002F7AD3"/>
    <w:rsid w:val="0030016D"/>
    <w:rsid w:val="00300B24"/>
    <w:rsid w:val="0030238E"/>
    <w:rsid w:val="00303B6C"/>
    <w:rsid w:val="003058C3"/>
    <w:rsid w:val="00306536"/>
    <w:rsid w:val="00306CB9"/>
    <w:rsid w:val="0031178A"/>
    <w:rsid w:val="00313F60"/>
    <w:rsid w:val="00314352"/>
    <w:rsid w:val="00315270"/>
    <w:rsid w:val="003158ED"/>
    <w:rsid w:val="00315B6B"/>
    <w:rsid w:val="00316238"/>
    <w:rsid w:val="003169F3"/>
    <w:rsid w:val="00317A9F"/>
    <w:rsid w:val="00317CD7"/>
    <w:rsid w:val="00320DAC"/>
    <w:rsid w:val="00322328"/>
    <w:rsid w:val="00322F6A"/>
    <w:rsid w:val="00323A9C"/>
    <w:rsid w:val="00324421"/>
    <w:rsid w:val="00325CB5"/>
    <w:rsid w:val="00326634"/>
    <w:rsid w:val="00327D0B"/>
    <w:rsid w:val="0033088E"/>
    <w:rsid w:val="00331507"/>
    <w:rsid w:val="0033194B"/>
    <w:rsid w:val="00333714"/>
    <w:rsid w:val="0033378E"/>
    <w:rsid w:val="00333ECA"/>
    <w:rsid w:val="0033492B"/>
    <w:rsid w:val="003359C1"/>
    <w:rsid w:val="00335E08"/>
    <w:rsid w:val="0033610A"/>
    <w:rsid w:val="003363D8"/>
    <w:rsid w:val="00337355"/>
    <w:rsid w:val="0033738B"/>
    <w:rsid w:val="00340D5F"/>
    <w:rsid w:val="00341840"/>
    <w:rsid w:val="00342442"/>
    <w:rsid w:val="0034290C"/>
    <w:rsid w:val="003430CE"/>
    <w:rsid w:val="0034317A"/>
    <w:rsid w:val="00345465"/>
    <w:rsid w:val="003456D7"/>
    <w:rsid w:val="00345A8D"/>
    <w:rsid w:val="00346B24"/>
    <w:rsid w:val="00346E67"/>
    <w:rsid w:val="003473A9"/>
    <w:rsid w:val="00351A97"/>
    <w:rsid w:val="00352938"/>
    <w:rsid w:val="00353580"/>
    <w:rsid w:val="00353D7F"/>
    <w:rsid w:val="00353F1B"/>
    <w:rsid w:val="00354F87"/>
    <w:rsid w:val="00354FD3"/>
    <w:rsid w:val="00355B06"/>
    <w:rsid w:val="00356E96"/>
    <w:rsid w:val="003579DA"/>
    <w:rsid w:val="00357DC1"/>
    <w:rsid w:val="00360D0F"/>
    <w:rsid w:val="00361350"/>
    <w:rsid w:val="0036197B"/>
    <w:rsid w:val="003634FF"/>
    <w:rsid w:val="00363D81"/>
    <w:rsid w:val="0036639C"/>
    <w:rsid w:val="0036759F"/>
    <w:rsid w:val="00367AB6"/>
    <w:rsid w:val="003703ED"/>
    <w:rsid w:val="00370EB0"/>
    <w:rsid w:val="00371C41"/>
    <w:rsid w:val="0037367C"/>
    <w:rsid w:val="003738D9"/>
    <w:rsid w:val="0037466E"/>
    <w:rsid w:val="00375221"/>
    <w:rsid w:val="00375412"/>
    <w:rsid w:val="00376F5E"/>
    <w:rsid w:val="00377AB8"/>
    <w:rsid w:val="00380636"/>
    <w:rsid w:val="0038133F"/>
    <w:rsid w:val="0038138A"/>
    <w:rsid w:val="00381908"/>
    <w:rsid w:val="00382EEA"/>
    <w:rsid w:val="00384BC5"/>
    <w:rsid w:val="00384CDA"/>
    <w:rsid w:val="00385880"/>
    <w:rsid w:val="0038677E"/>
    <w:rsid w:val="0039009D"/>
    <w:rsid w:val="00391287"/>
    <w:rsid w:val="00391737"/>
    <w:rsid w:val="00392774"/>
    <w:rsid w:val="003938C8"/>
    <w:rsid w:val="0039577D"/>
    <w:rsid w:val="00395999"/>
    <w:rsid w:val="00396DFD"/>
    <w:rsid w:val="00397A1D"/>
    <w:rsid w:val="003A093F"/>
    <w:rsid w:val="003A0BE3"/>
    <w:rsid w:val="003A1A8F"/>
    <w:rsid w:val="003A2926"/>
    <w:rsid w:val="003A3411"/>
    <w:rsid w:val="003A3F03"/>
    <w:rsid w:val="003A4044"/>
    <w:rsid w:val="003A40B2"/>
    <w:rsid w:val="003A40B9"/>
    <w:rsid w:val="003A4A16"/>
    <w:rsid w:val="003A5053"/>
    <w:rsid w:val="003A6DF5"/>
    <w:rsid w:val="003B05C2"/>
    <w:rsid w:val="003B1F28"/>
    <w:rsid w:val="003B230E"/>
    <w:rsid w:val="003B2E77"/>
    <w:rsid w:val="003B45D2"/>
    <w:rsid w:val="003B6020"/>
    <w:rsid w:val="003B61C6"/>
    <w:rsid w:val="003B757E"/>
    <w:rsid w:val="003B7B86"/>
    <w:rsid w:val="003B7F10"/>
    <w:rsid w:val="003C0504"/>
    <w:rsid w:val="003C29EC"/>
    <w:rsid w:val="003C3A80"/>
    <w:rsid w:val="003C51DF"/>
    <w:rsid w:val="003C6CAD"/>
    <w:rsid w:val="003D0425"/>
    <w:rsid w:val="003D19DD"/>
    <w:rsid w:val="003D2361"/>
    <w:rsid w:val="003D312B"/>
    <w:rsid w:val="003D6166"/>
    <w:rsid w:val="003D6237"/>
    <w:rsid w:val="003D7332"/>
    <w:rsid w:val="003D74D8"/>
    <w:rsid w:val="003D7B9E"/>
    <w:rsid w:val="003E010B"/>
    <w:rsid w:val="003E31D8"/>
    <w:rsid w:val="003E329B"/>
    <w:rsid w:val="003E371E"/>
    <w:rsid w:val="003E39F2"/>
    <w:rsid w:val="003E468E"/>
    <w:rsid w:val="003E4971"/>
    <w:rsid w:val="003E5FC3"/>
    <w:rsid w:val="003E6459"/>
    <w:rsid w:val="003E75C1"/>
    <w:rsid w:val="003E7D72"/>
    <w:rsid w:val="003F076F"/>
    <w:rsid w:val="003F16DA"/>
    <w:rsid w:val="003F19D8"/>
    <w:rsid w:val="003F2FEC"/>
    <w:rsid w:val="003F3A38"/>
    <w:rsid w:val="003F429F"/>
    <w:rsid w:val="003F486E"/>
    <w:rsid w:val="003F56A3"/>
    <w:rsid w:val="003F5C90"/>
    <w:rsid w:val="003F5F24"/>
    <w:rsid w:val="003F608A"/>
    <w:rsid w:val="003F69CF"/>
    <w:rsid w:val="0040058F"/>
    <w:rsid w:val="0040098A"/>
    <w:rsid w:val="00400CA3"/>
    <w:rsid w:val="004010F1"/>
    <w:rsid w:val="004014A6"/>
    <w:rsid w:val="004020C2"/>
    <w:rsid w:val="00402ED4"/>
    <w:rsid w:val="004056F6"/>
    <w:rsid w:val="00406F5E"/>
    <w:rsid w:val="004073FD"/>
    <w:rsid w:val="00410047"/>
    <w:rsid w:val="0041052E"/>
    <w:rsid w:val="0041496C"/>
    <w:rsid w:val="00416C1C"/>
    <w:rsid w:val="0042363E"/>
    <w:rsid w:val="00424657"/>
    <w:rsid w:val="00424C1E"/>
    <w:rsid w:val="00424F61"/>
    <w:rsid w:val="00425E28"/>
    <w:rsid w:val="00425EC1"/>
    <w:rsid w:val="0042624F"/>
    <w:rsid w:val="004263A1"/>
    <w:rsid w:val="00426C8F"/>
    <w:rsid w:val="00427748"/>
    <w:rsid w:val="0043145A"/>
    <w:rsid w:val="00431AB3"/>
    <w:rsid w:val="004332A9"/>
    <w:rsid w:val="00433611"/>
    <w:rsid w:val="00433F4A"/>
    <w:rsid w:val="0043406B"/>
    <w:rsid w:val="0043644E"/>
    <w:rsid w:val="00436521"/>
    <w:rsid w:val="004367A7"/>
    <w:rsid w:val="00442282"/>
    <w:rsid w:val="004425AD"/>
    <w:rsid w:val="00442781"/>
    <w:rsid w:val="00442D05"/>
    <w:rsid w:val="00445144"/>
    <w:rsid w:val="00446FDE"/>
    <w:rsid w:val="00447711"/>
    <w:rsid w:val="004519D7"/>
    <w:rsid w:val="004525F9"/>
    <w:rsid w:val="00453311"/>
    <w:rsid w:val="00453F15"/>
    <w:rsid w:val="00454700"/>
    <w:rsid w:val="00454D2D"/>
    <w:rsid w:val="00455A58"/>
    <w:rsid w:val="0045641A"/>
    <w:rsid w:val="00457326"/>
    <w:rsid w:val="00457EF6"/>
    <w:rsid w:val="004609DD"/>
    <w:rsid w:val="00461318"/>
    <w:rsid w:val="00461D14"/>
    <w:rsid w:val="00462025"/>
    <w:rsid w:val="004631E5"/>
    <w:rsid w:val="0046330A"/>
    <w:rsid w:val="00463485"/>
    <w:rsid w:val="004635AD"/>
    <w:rsid w:val="0046457B"/>
    <w:rsid w:val="00464842"/>
    <w:rsid w:val="004670BF"/>
    <w:rsid w:val="00470567"/>
    <w:rsid w:val="00470691"/>
    <w:rsid w:val="00471B67"/>
    <w:rsid w:val="00473260"/>
    <w:rsid w:val="00473408"/>
    <w:rsid w:val="00474E56"/>
    <w:rsid w:val="0047652C"/>
    <w:rsid w:val="004773F4"/>
    <w:rsid w:val="00482EEF"/>
    <w:rsid w:val="00484944"/>
    <w:rsid w:val="00485412"/>
    <w:rsid w:val="00486A56"/>
    <w:rsid w:val="004873CA"/>
    <w:rsid w:val="00487A44"/>
    <w:rsid w:val="00487D72"/>
    <w:rsid w:val="0049253E"/>
    <w:rsid w:val="00492DA9"/>
    <w:rsid w:val="004A37CC"/>
    <w:rsid w:val="004A4AD4"/>
    <w:rsid w:val="004A4BC9"/>
    <w:rsid w:val="004A5733"/>
    <w:rsid w:val="004A5BEE"/>
    <w:rsid w:val="004A5EC4"/>
    <w:rsid w:val="004A7B7D"/>
    <w:rsid w:val="004B05E1"/>
    <w:rsid w:val="004B092D"/>
    <w:rsid w:val="004B0FE9"/>
    <w:rsid w:val="004B1CE9"/>
    <w:rsid w:val="004B1D85"/>
    <w:rsid w:val="004B3ACE"/>
    <w:rsid w:val="004B5623"/>
    <w:rsid w:val="004B5778"/>
    <w:rsid w:val="004B6BA4"/>
    <w:rsid w:val="004B6F21"/>
    <w:rsid w:val="004B741B"/>
    <w:rsid w:val="004B7B84"/>
    <w:rsid w:val="004B7D9A"/>
    <w:rsid w:val="004C1583"/>
    <w:rsid w:val="004C198D"/>
    <w:rsid w:val="004C1D43"/>
    <w:rsid w:val="004C375B"/>
    <w:rsid w:val="004C53DE"/>
    <w:rsid w:val="004C5705"/>
    <w:rsid w:val="004C68E0"/>
    <w:rsid w:val="004C76D3"/>
    <w:rsid w:val="004D0725"/>
    <w:rsid w:val="004D0A22"/>
    <w:rsid w:val="004D0BA4"/>
    <w:rsid w:val="004D187F"/>
    <w:rsid w:val="004D22A1"/>
    <w:rsid w:val="004D2A80"/>
    <w:rsid w:val="004D3247"/>
    <w:rsid w:val="004D52F5"/>
    <w:rsid w:val="004D58ED"/>
    <w:rsid w:val="004D65CE"/>
    <w:rsid w:val="004D6D0D"/>
    <w:rsid w:val="004D6E13"/>
    <w:rsid w:val="004D7B7C"/>
    <w:rsid w:val="004E0D98"/>
    <w:rsid w:val="004E1F0F"/>
    <w:rsid w:val="004E3571"/>
    <w:rsid w:val="004E3ED1"/>
    <w:rsid w:val="004E42BD"/>
    <w:rsid w:val="004E5035"/>
    <w:rsid w:val="004E61DC"/>
    <w:rsid w:val="004E686F"/>
    <w:rsid w:val="004E7AB4"/>
    <w:rsid w:val="004F031C"/>
    <w:rsid w:val="004F19CB"/>
    <w:rsid w:val="004F29D9"/>
    <w:rsid w:val="004F33CE"/>
    <w:rsid w:val="004F476E"/>
    <w:rsid w:val="004F5956"/>
    <w:rsid w:val="004F5CA0"/>
    <w:rsid w:val="004F6AA1"/>
    <w:rsid w:val="004F74DE"/>
    <w:rsid w:val="004F7A29"/>
    <w:rsid w:val="0050050B"/>
    <w:rsid w:val="00500726"/>
    <w:rsid w:val="00501ECB"/>
    <w:rsid w:val="00502D10"/>
    <w:rsid w:val="00502F41"/>
    <w:rsid w:val="00504592"/>
    <w:rsid w:val="00504ACA"/>
    <w:rsid w:val="00505AB6"/>
    <w:rsid w:val="0051001F"/>
    <w:rsid w:val="005102E0"/>
    <w:rsid w:val="0051099E"/>
    <w:rsid w:val="00512867"/>
    <w:rsid w:val="00512E2E"/>
    <w:rsid w:val="00515B72"/>
    <w:rsid w:val="00515BD8"/>
    <w:rsid w:val="00516E92"/>
    <w:rsid w:val="0051700B"/>
    <w:rsid w:val="005174CC"/>
    <w:rsid w:val="00520386"/>
    <w:rsid w:val="00520B25"/>
    <w:rsid w:val="005256FE"/>
    <w:rsid w:val="005272FF"/>
    <w:rsid w:val="00527341"/>
    <w:rsid w:val="00527AB5"/>
    <w:rsid w:val="00530404"/>
    <w:rsid w:val="00530AC9"/>
    <w:rsid w:val="00530CEA"/>
    <w:rsid w:val="005312BF"/>
    <w:rsid w:val="005312D7"/>
    <w:rsid w:val="00531385"/>
    <w:rsid w:val="0053147D"/>
    <w:rsid w:val="005318D2"/>
    <w:rsid w:val="00531BF9"/>
    <w:rsid w:val="00532220"/>
    <w:rsid w:val="00533192"/>
    <w:rsid w:val="00534A2E"/>
    <w:rsid w:val="005354C8"/>
    <w:rsid w:val="00537043"/>
    <w:rsid w:val="0053768D"/>
    <w:rsid w:val="00537BD1"/>
    <w:rsid w:val="00540334"/>
    <w:rsid w:val="00540A46"/>
    <w:rsid w:val="00541045"/>
    <w:rsid w:val="0054151F"/>
    <w:rsid w:val="0054203F"/>
    <w:rsid w:val="005428F4"/>
    <w:rsid w:val="005432ED"/>
    <w:rsid w:val="00543468"/>
    <w:rsid w:val="00543783"/>
    <w:rsid w:val="00545374"/>
    <w:rsid w:val="00545FE6"/>
    <w:rsid w:val="00546539"/>
    <w:rsid w:val="00546E2A"/>
    <w:rsid w:val="0054726E"/>
    <w:rsid w:val="00547534"/>
    <w:rsid w:val="005477C3"/>
    <w:rsid w:val="00550FD5"/>
    <w:rsid w:val="00551D90"/>
    <w:rsid w:val="00552CF2"/>
    <w:rsid w:val="005536CE"/>
    <w:rsid w:val="005537C5"/>
    <w:rsid w:val="005539B6"/>
    <w:rsid w:val="00554CEB"/>
    <w:rsid w:val="00555609"/>
    <w:rsid w:val="005557BF"/>
    <w:rsid w:val="00555910"/>
    <w:rsid w:val="005560C6"/>
    <w:rsid w:val="0055652E"/>
    <w:rsid w:val="0055675D"/>
    <w:rsid w:val="0056117A"/>
    <w:rsid w:val="00562064"/>
    <w:rsid w:val="0056344C"/>
    <w:rsid w:val="00563C4F"/>
    <w:rsid w:val="00564741"/>
    <w:rsid w:val="0056493F"/>
    <w:rsid w:val="0056538C"/>
    <w:rsid w:val="005658BE"/>
    <w:rsid w:val="00565DF8"/>
    <w:rsid w:val="0056644F"/>
    <w:rsid w:val="0056711D"/>
    <w:rsid w:val="00567B59"/>
    <w:rsid w:val="0057072D"/>
    <w:rsid w:val="00571D6B"/>
    <w:rsid w:val="00572C4C"/>
    <w:rsid w:val="005732C5"/>
    <w:rsid w:val="0057370D"/>
    <w:rsid w:val="00573FC6"/>
    <w:rsid w:val="00577B9B"/>
    <w:rsid w:val="00581521"/>
    <w:rsid w:val="005820A9"/>
    <w:rsid w:val="00583396"/>
    <w:rsid w:val="005836B3"/>
    <w:rsid w:val="00583AF1"/>
    <w:rsid w:val="00585406"/>
    <w:rsid w:val="005855A0"/>
    <w:rsid w:val="00585904"/>
    <w:rsid w:val="005864A7"/>
    <w:rsid w:val="0058697E"/>
    <w:rsid w:val="005901CA"/>
    <w:rsid w:val="00590BA5"/>
    <w:rsid w:val="0059165D"/>
    <w:rsid w:val="00592C71"/>
    <w:rsid w:val="0059316D"/>
    <w:rsid w:val="00593C6F"/>
    <w:rsid w:val="005947A2"/>
    <w:rsid w:val="00594F4A"/>
    <w:rsid w:val="005957A2"/>
    <w:rsid w:val="00595DBE"/>
    <w:rsid w:val="005A0413"/>
    <w:rsid w:val="005A2969"/>
    <w:rsid w:val="005A2D23"/>
    <w:rsid w:val="005A445D"/>
    <w:rsid w:val="005A63EB"/>
    <w:rsid w:val="005A6B63"/>
    <w:rsid w:val="005A74E7"/>
    <w:rsid w:val="005A7E95"/>
    <w:rsid w:val="005B0FCE"/>
    <w:rsid w:val="005B213B"/>
    <w:rsid w:val="005B2288"/>
    <w:rsid w:val="005B34F5"/>
    <w:rsid w:val="005B3529"/>
    <w:rsid w:val="005B3BAA"/>
    <w:rsid w:val="005B4616"/>
    <w:rsid w:val="005B59EF"/>
    <w:rsid w:val="005B638E"/>
    <w:rsid w:val="005B731B"/>
    <w:rsid w:val="005C020D"/>
    <w:rsid w:val="005C0A3A"/>
    <w:rsid w:val="005C13F3"/>
    <w:rsid w:val="005C1803"/>
    <w:rsid w:val="005C21E0"/>
    <w:rsid w:val="005C245B"/>
    <w:rsid w:val="005C3728"/>
    <w:rsid w:val="005C6D8D"/>
    <w:rsid w:val="005C76B1"/>
    <w:rsid w:val="005D05B1"/>
    <w:rsid w:val="005D0C82"/>
    <w:rsid w:val="005D1CB8"/>
    <w:rsid w:val="005D2203"/>
    <w:rsid w:val="005D4D07"/>
    <w:rsid w:val="005D4F54"/>
    <w:rsid w:val="005D5CCC"/>
    <w:rsid w:val="005E0C3E"/>
    <w:rsid w:val="005E1605"/>
    <w:rsid w:val="005E3218"/>
    <w:rsid w:val="005E39EA"/>
    <w:rsid w:val="005E3F82"/>
    <w:rsid w:val="005E5B17"/>
    <w:rsid w:val="005E69B7"/>
    <w:rsid w:val="005E6DEE"/>
    <w:rsid w:val="005E7176"/>
    <w:rsid w:val="005E72F5"/>
    <w:rsid w:val="005E7AFF"/>
    <w:rsid w:val="005E7C5C"/>
    <w:rsid w:val="005E7CAF"/>
    <w:rsid w:val="005F0584"/>
    <w:rsid w:val="005F132B"/>
    <w:rsid w:val="005F1F08"/>
    <w:rsid w:val="005F26AC"/>
    <w:rsid w:val="005F2CAC"/>
    <w:rsid w:val="005F32D7"/>
    <w:rsid w:val="005F378B"/>
    <w:rsid w:val="005F3921"/>
    <w:rsid w:val="005F3990"/>
    <w:rsid w:val="005F4C39"/>
    <w:rsid w:val="005F4E9E"/>
    <w:rsid w:val="005F5676"/>
    <w:rsid w:val="005F6A96"/>
    <w:rsid w:val="005F7328"/>
    <w:rsid w:val="005F7C06"/>
    <w:rsid w:val="00600B1C"/>
    <w:rsid w:val="00600D5B"/>
    <w:rsid w:val="00601376"/>
    <w:rsid w:val="0060169A"/>
    <w:rsid w:val="00603E1C"/>
    <w:rsid w:val="00604F07"/>
    <w:rsid w:val="0060529C"/>
    <w:rsid w:val="00605AE6"/>
    <w:rsid w:val="00605D37"/>
    <w:rsid w:val="0060675A"/>
    <w:rsid w:val="0060693C"/>
    <w:rsid w:val="00607466"/>
    <w:rsid w:val="00610028"/>
    <w:rsid w:val="006111E5"/>
    <w:rsid w:val="0061139C"/>
    <w:rsid w:val="006125CE"/>
    <w:rsid w:val="00612642"/>
    <w:rsid w:val="00612756"/>
    <w:rsid w:val="00612A76"/>
    <w:rsid w:val="00613B9A"/>
    <w:rsid w:val="00614C74"/>
    <w:rsid w:val="00615F06"/>
    <w:rsid w:val="0061606D"/>
    <w:rsid w:val="006162F8"/>
    <w:rsid w:val="0061643B"/>
    <w:rsid w:val="00616502"/>
    <w:rsid w:val="0061778C"/>
    <w:rsid w:val="00620020"/>
    <w:rsid w:val="006200CD"/>
    <w:rsid w:val="00621491"/>
    <w:rsid w:val="006219B3"/>
    <w:rsid w:val="0062213F"/>
    <w:rsid w:val="006225A7"/>
    <w:rsid w:val="006242CE"/>
    <w:rsid w:val="00625AD6"/>
    <w:rsid w:val="00625BF0"/>
    <w:rsid w:val="00626759"/>
    <w:rsid w:val="00626778"/>
    <w:rsid w:val="0062679C"/>
    <w:rsid w:val="006273EA"/>
    <w:rsid w:val="006274EE"/>
    <w:rsid w:val="00627595"/>
    <w:rsid w:val="00630CBF"/>
    <w:rsid w:val="00631F6B"/>
    <w:rsid w:val="0063238F"/>
    <w:rsid w:val="00636FB6"/>
    <w:rsid w:val="0063717C"/>
    <w:rsid w:val="00637D42"/>
    <w:rsid w:val="00637F28"/>
    <w:rsid w:val="00640445"/>
    <w:rsid w:val="00640880"/>
    <w:rsid w:val="006408DE"/>
    <w:rsid w:val="006409FA"/>
    <w:rsid w:val="00642148"/>
    <w:rsid w:val="00643427"/>
    <w:rsid w:val="0064465E"/>
    <w:rsid w:val="00646C31"/>
    <w:rsid w:val="006477FE"/>
    <w:rsid w:val="00650061"/>
    <w:rsid w:val="006503D6"/>
    <w:rsid w:val="0065123F"/>
    <w:rsid w:val="0065231D"/>
    <w:rsid w:val="006526EF"/>
    <w:rsid w:val="00652E50"/>
    <w:rsid w:val="00653F9A"/>
    <w:rsid w:val="00654C35"/>
    <w:rsid w:val="0065637C"/>
    <w:rsid w:val="0066078B"/>
    <w:rsid w:val="0066160F"/>
    <w:rsid w:val="0066226D"/>
    <w:rsid w:val="00663124"/>
    <w:rsid w:val="00663A13"/>
    <w:rsid w:val="0066452F"/>
    <w:rsid w:val="00665053"/>
    <w:rsid w:val="00665093"/>
    <w:rsid w:val="0066653B"/>
    <w:rsid w:val="00666609"/>
    <w:rsid w:val="00667621"/>
    <w:rsid w:val="006719A8"/>
    <w:rsid w:val="0067247A"/>
    <w:rsid w:val="00673138"/>
    <w:rsid w:val="00673D94"/>
    <w:rsid w:val="00676373"/>
    <w:rsid w:val="00676891"/>
    <w:rsid w:val="00677516"/>
    <w:rsid w:val="006778FC"/>
    <w:rsid w:val="00677ACD"/>
    <w:rsid w:val="00677E8D"/>
    <w:rsid w:val="006828AC"/>
    <w:rsid w:val="00682D28"/>
    <w:rsid w:val="006844AB"/>
    <w:rsid w:val="006862CA"/>
    <w:rsid w:val="00690E75"/>
    <w:rsid w:val="00692879"/>
    <w:rsid w:val="0069417D"/>
    <w:rsid w:val="0069484A"/>
    <w:rsid w:val="00694E9A"/>
    <w:rsid w:val="0069593F"/>
    <w:rsid w:val="00695A91"/>
    <w:rsid w:val="0069699A"/>
    <w:rsid w:val="006977C0"/>
    <w:rsid w:val="006A0B8C"/>
    <w:rsid w:val="006A0E9D"/>
    <w:rsid w:val="006A114A"/>
    <w:rsid w:val="006A26D2"/>
    <w:rsid w:val="006A27DB"/>
    <w:rsid w:val="006A2AE2"/>
    <w:rsid w:val="006A32FA"/>
    <w:rsid w:val="006A336E"/>
    <w:rsid w:val="006A4806"/>
    <w:rsid w:val="006A7CBD"/>
    <w:rsid w:val="006B007D"/>
    <w:rsid w:val="006B0622"/>
    <w:rsid w:val="006B266B"/>
    <w:rsid w:val="006B322A"/>
    <w:rsid w:val="006B7D5F"/>
    <w:rsid w:val="006C03E3"/>
    <w:rsid w:val="006C125D"/>
    <w:rsid w:val="006C1700"/>
    <w:rsid w:val="006C41A5"/>
    <w:rsid w:val="006C477F"/>
    <w:rsid w:val="006C52B7"/>
    <w:rsid w:val="006C537E"/>
    <w:rsid w:val="006C7853"/>
    <w:rsid w:val="006D09B2"/>
    <w:rsid w:val="006D0B94"/>
    <w:rsid w:val="006D189D"/>
    <w:rsid w:val="006D18A1"/>
    <w:rsid w:val="006D2093"/>
    <w:rsid w:val="006D3051"/>
    <w:rsid w:val="006D3D00"/>
    <w:rsid w:val="006D6B51"/>
    <w:rsid w:val="006D7818"/>
    <w:rsid w:val="006E01FA"/>
    <w:rsid w:val="006E0EBB"/>
    <w:rsid w:val="006E1B12"/>
    <w:rsid w:val="006E2257"/>
    <w:rsid w:val="006E2C65"/>
    <w:rsid w:val="006E343D"/>
    <w:rsid w:val="006E347A"/>
    <w:rsid w:val="006E3C8F"/>
    <w:rsid w:val="006E40F8"/>
    <w:rsid w:val="006E4843"/>
    <w:rsid w:val="006E595B"/>
    <w:rsid w:val="006E68FF"/>
    <w:rsid w:val="006E6AEC"/>
    <w:rsid w:val="006E764D"/>
    <w:rsid w:val="006F0299"/>
    <w:rsid w:val="006F075B"/>
    <w:rsid w:val="006F111D"/>
    <w:rsid w:val="006F18B4"/>
    <w:rsid w:val="006F1A43"/>
    <w:rsid w:val="006F36F3"/>
    <w:rsid w:val="006F4420"/>
    <w:rsid w:val="006F52C0"/>
    <w:rsid w:val="006F57D6"/>
    <w:rsid w:val="007001B7"/>
    <w:rsid w:val="007028EA"/>
    <w:rsid w:val="00703AA6"/>
    <w:rsid w:val="00705181"/>
    <w:rsid w:val="007054B6"/>
    <w:rsid w:val="007057B0"/>
    <w:rsid w:val="00705A4A"/>
    <w:rsid w:val="00705C53"/>
    <w:rsid w:val="00705CD6"/>
    <w:rsid w:val="00705E8D"/>
    <w:rsid w:val="00706018"/>
    <w:rsid w:val="007065D7"/>
    <w:rsid w:val="0070788C"/>
    <w:rsid w:val="00707DAF"/>
    <w:rsid w:val="0071022C"/>
    <w:rsid w:val="0071111C"/>
    <w:rsid w:val="00711555"/>
    <w:rsid w:val="00711E80"/>
    <w:rsid w:val="00712401"/>
    <w:rsid w:val="007129E3"/>
    <w:rsid w:val="00712A6E"/>
    <w:rsid w:val="00712DD8"/>
    <w:rsid w:val="00714FB1"/>
    <w:rsid w:val="00716AC9"/>
    <w:rsid w:val="00717106"/>
    <w:rsid w:val="00717987"/>
    <w:rsid w:val="00717C13"/>
    <w:rsid w:val="00720119"/>
    <w:rsid w:val="007214AC"/>
    <w:rsid w:val="00721FB3"/>
    <w:rsid w:val="00722DBA"/>
    <w:rsid w:val="0072468D"/>
    <w:rsid w:val="00726698"/>
    <w:rsid w:val="007270E2"/>
    <w:rsid w:val="0072774F"/>
    <w:rsid w:val="00730C92"/>
    <w:rsid w:val="00731EA4"/>
    <w:rsid w:val="0073562F"/>
    <w:rsid w:val="007359F7"/>
    <w:rsid w:val="00735F8A"/>
    <w:rsid w:val="00736D4A"/>
    <w:rsid w:val="00737703"/>
    <w:rsid w:val="00737B43"/>
    <w:rsid w:val="0074042D"/>
    <w:rsid w:val="00740957"/>
    <w:rsid w:val="00740F42"/>
    <w:rsid w:val="00741328"/>
    <w:rsid w:val="00741E38"/>
    <w:rsid w:val="00742908"/>
    <w:rsid w:val="00742B5F"/>
    <w:rsid w:val="00743051"/>
    <w:rsid w:val="00744C99"/>
    <w:rsid w:val="0074522F"/>
    <w:rsid w:val="00745715"/>
    <w:rsid w:val="007460FA"/>
    <w:rsid w:val="00746623"/>
    <w:rsid w:val="00746A53"/>
    <w:rsid w:val="00747590"/>
    <w:rsid w:val="00750B1C"/>
    <w:rsid w:val="00751632"/>
    <w:rsid w:val="0075230E"/>
    <w:rsid w:val="00752C55"/>
    <w:rsid w:val="00753686"/>
    <w:rsid w:val="0075379A"/>
    <w:rsid w:val="00753CD3"/>
    <w:rsid w:val="007546A4"/>
    <w:rsid w:val="00756ECE"/>
    <w:rsid w:val="00756EE6"/>
    <w:rsid w:val="007572D2"/>
    <w:rsid w:val="00757B2A"/>
    <w:rsid w:val="00757F42"/>
    <w:rsid w:val="00757F63"/>
    <w:rsid w:val="00760C1F"/>
    <w:rsid w:val="00762611"/>
    <w:rsid w:val="007632BE"/>
    <w:rsid w:val="00764E30"/>
    <w:rsid w:val="007655BC"/>
    <w:rsid w:val="00765C1D"/>
    <w:rsid w:val="007710DD"/>
    <w:rsid w:val="00772D27"/>
    <w:rsid w:val="00773176"/>
    <w:rsid w:val="0077356E"/>
    <w:rsid w:val="00776721"/>
    <w:rsid w:val="00776B44"/>
    <w:rsid w:val="007773FD"/>
    <w:rsid w:val="0077770D"/>
    <w:rsid w:val="00780100"/>
    <w:rsid w:val="007813B0"/>
    <w:rsid w:val="00781B64"/>
    <w:rsid w:val="007822E8"/>
    <w:rsid w:val="00783408"/>
    <w:rsid w:val="00783E5A"/>
    <w:rsid w:val="00784003"/>
    <w:rsid w:val="00784AD5"/>
    <w:rsid w:val="00784DF3"/>
    <w:rsid w:val="0078523D"/>
    <w:rsid w:val="007856A2"/>
    <w:rsid w:val="00785C83"/>
    <w:rsid w:val="00786E1E"/>
    <w:rsid w:val="007877CB"/>
    <w:rsid w:val="0079044D"/>
    <w:rsid w:val="00790B54"/>
    <w:rsid w:val="00790FE8"/>
    <w:rsid w:val="007914BD"/>
    <w:rsid w:val="00791C2A"/>
    <w:rsid w:val="00791E1A"/>
    <w:rsid w:val="00794471"/>
    <w:rsid w:val="007950E3"/>
    <w:rsid w:val="007957CD"/>
    <w:rsid w:val="007959C8"/>
    <w:rsid w:val="0079606C"/>
    <w:rsid w:val="007970D1"/>
    <w:rsid w:val="00797168"/>
    <w:rsid w:val="007A1410"/>
    <w:rsid w:val="007A328E"/>
    <w:rsid w:val="007A3B69"/>
    <w:rsid w:val="007A4726"/>
    <w:rsid w:val="007A5F9F"/>
    <w:rsid w:val="007A7CEA"/>
    <w:rsid w:val="007A7F72"/>
    <w:rsid w:val="007B0BDB"/>
    <w:rsid w:val="007B1281"/>
    <w:rsid w:val="007B1C91"/>
    <w:rsid w:val="007B20CB"/>
    <w:rsid w:val="007B5629"/>
    <w:rsid w:val="007B74F5"/>
    <w:rsid w:val="007C04A7"/>
    <w:rsid w:val="007C0AF5"/>
    <w:rsid w:val="007C1048"/>
    <w:rsid w:val="007C25FB"/>
    <w:rsid w:val="007C42EC"/>
    <w:rsid w:val="007C44A4"/>
    <w:rsid w:val="007C4815"/>
    <w:rsid w:val="007C4D93"/>
    <w:rsid w:val="007C524A"/>
    <w:rsid w:val="007C53AD"/>
    <w:rsid w:val="007C5778"/>
    <w:rsid w:val="007C62DE"/>
    <w:rsid w:val="007C65A0"/>
    <w:rsid w:val="007C7120"/>
    <w:rsid w:val="007C7276"/>
    <w:rsid w:val="007C790C"/>
    <w:rsid w:val="007C795D"/>
    <w:rsid w:val="007D004E"/>
    <w:rsid w:val="007D05A1"/>
    <w:rsid w:val="007D208E"/>
    <w:rsid w:val="007D3016"/>
    <w:rsid w:val="007D3C4A"/>
    <w:rsid w:val="007D4C5A"/>
    <w:rsid w:val="007D5D1E"/>
    <w:rsid w:val="007D6D5D"/>
    <w:rsid w:val="007D702D"/>
    <w:rsid w:val="007D76DD"/>
    <w:rsid w:val="007D7801"/>
    <w:rsid w:val="007E03EF"/>
    <w:rsid w:val="007E14B8"/>
    <w:rsid w:val="007E1753"/>
    <w:rsid w:val="007E2DAF"/>
    <w:rsid w:val="007E2E4D"/>
    <w:rsid w:val="007E34D6"/>
    <w:rsid w:val="007E679C"/>
    <w:rsid w:val="007E7173"/>
    <w:rsid w:val="007E7634"/>
    <w:rsid w:val="007F4904"/>
    <w:rsid w:val="007F6CA5"/>
    <w:rsid w:val="007F7066"/>
    <w:rsid w:val="007F785C"/>
    <w:rsid w:val="00800119"/>
    <w:rsid w:val="00800923"/>
    <w:rsid w:val="008022BB"/>
    <w:rsid w:val="008029FC"/>
    <w:rsid w:val="008052BE"/>
    <w:rsid w:val="0080587A"/>
    <w:rsid w:val="00805D67"/>
    <w:rsid w:val="0080626E"/>
    <w:rsid w:val="00806961"/>
    <w:rsid w:val="00807413"/>
    <w:rsid w:val="0080776B"/>
    <w:rsid w:val="00807BDC"/>
    <w:rsid w:val="0081075B"/>
    <w:rsid w:val="00810873"/>
    <w:rsid w:val="00810ACB"/>
    <w:rsid w:val="00811523"/>
    <w:rsid w:val="00811885"/>
    <w:rsid w:val="00811886"/>
    <w:rsid w:val="00812676"/>
    <w:rsid w:val="00812925"/>
    <w:rsid w:val="00814E43"/>
    <w:rsid w:val="00815802"/>
    <w:rsid w:val="00815D7D"/>
    <w:rsid w:val="008167D8"/>
    <w:rsid w:val="00816FB2"/>
    <w:rsid w:val="00820E6E"/>
    <w:rsid w:val="0082169F"/>
    <w:rsid w:val="008229A7"/>
    <w:rsid w:val="00823BD9"/>
    <w:rsid w:val="00823EFC"/>
    <w:rsid w:val="00824D16"/>
    <w:rsid w:val="00825E84"/>
    <w:rsid w:val="008267DE"/>
    <w:rsid w:val="008268EB"/>
    <w:rsid w:val="00826B00"/>
    <w:rsid w:val="00826BAB"/>
    <w:rsid w:val="0082704C"/>
    <w:rsid w:val="00827CB4"/>
    <w:rsid w:val="00831329"/>
    <w:rsid w:val="00831B49"/>
    <w:rsid w:val="00831E62"/>
    <w:rsid w:val="00832027"/>
    <w:rsid w:val="008327F1"/>
    <w:rsid w:val="0083405B"/>
    <w:rsid w:val="008342A8"/>
    <w:rsid w:val="008344C8"/>
    <w:rsid w:val="00834B34"/>
    <w:rsid w:val="00834C3E"/>
    <w:rsid w:val="008355FC"/>
    <w:rsid w:val="00835E41"/>
    <w:rsid w:val="00836EA0"/>
    <w:rsid w:val="0083782A"/>
    <w:rsid w:val="00837AD9"/>
    <w:rsid w:val="008401A8"/>
    <w:rsid w:val="008407AB"/>
    <w:rsid w:val="008411C1"/>
    <w:rsid w:val="00841386"/>
    <w:rsid w:val="00842A38"/>
    <w:rsid w:val="0084765A"/>
    <w:rsid w:val="0085023C"/>
    <w:rsid w:val="008509D4"/>
    <w:rsid w:val="00850B34"/>
    <w:rsid w:val="00852FA8"/>
    <w:rsid w:val="00853800"/>
    <w:rsid w:val="0085428A"/>
    <w:rsid w:val="00854D2B"/>
    <w:rsid w:val="00856B7C"/>
    <w:rsid w:val="00857457"/>
    <w:rsid w:val="008574D9"/>
    <w:rsid w:val="00857966"/>
    <w:rsid w:val="008610FE"/>
    <w:rsid w:val="00862637"/>
    <w:rsid w:val="00862A98"/>
    <w:rsid w:val="00863277"/>
    <w:rsid w:val="00863C48"/>
    <w:rsid w:val="00864350"/>
    <w:rsid w:val="0086438D"/>
    <w:rsid w:val="0086541E"/>
    <w:rsid w:val="00866CD5"/>
    <w:rsid w:val="00870DE3"/>
    <w:rsid w:val="00873B89"/>
    <w:rsid w:val="00874E2B"/>
    <w:rsid w:val="008753BF"/>
    <w:rsid w:val="00875F02"/>
    <w:rsid w:val="00876610"/>
    <w:rsid w:val="008766E6"/>
    <w:rsid w:val="00876B4D"/>
    <w:rsid w:val="00877627"/>
    <w:rsid w:val="00877E58"/>
    <w:rsid w:val="008817DB"/>
    <w:rsid w:val="0088428B"/>
    <w:rsid w:val="008845AA"/>
    <w:rsid w:val="008854CA"/>
    <w:rsid w:val="00885BB9"/>
    <w:rsid w:val="0088764B"/>
    <w:rsid w:val="0088799D"/>
    <w:rsid w:val="008910C2"/>
    <w:rsid w:val="008915AB"/>
    <w:rsid w:val="00891ED1"/>
    <w:rsid w:val="00892D84"/>
    <w:rsid w:val="008935B1"/>
    <w:rsid w:val="00893845"/>
    <w:rsid w:val="00894274"/>
    <w:rsid w:val="00894B0C"/>
    <w:rsid w:val="008961AA"/>
    <w:rsid w:val="00896457"/>
    <w:rsid w:val="008966ED"/>
    <w:rsid w:val="008A1FA3"/>
    <w:rsid w:val="008A3833"/>
    <w:rsid w:val="008A402F"/>
    <w:rsid w:val="008A5EC6"/>
    <w:rsid w:val="008A6806"/>
    <w:rsid w:val="008A6C68"/>
    <w:rsid w:val="008A6EF0"/>
    <w:rsid w:val="008A703D"/>
    <w:rsid w:val="008B18AC"/>
    <w:rsid w:val="008B40BA"/>
    <w:rsid w:val="008B659B"/>
    <w:rsid w:val="008B6C17"/>
    <w:rsid w:val="008B7B51"/>
    <w:rsid w:val="008C0688"/>
    <w:rsid w:val="008C06FA"/>
    <w:rsid w:val="008C09EB"/>
    <w:rsid w:val="008C0F24"/>
    <w:rsid w:val="008C2994"/>
    <w:rsid w:val="008C2DD6"/>
    <w:rsid w:val="008C2FF6"/>
    <w:rsid w:val="008C323B"/>
    <w:rsid w:val="008C38E9"/>
    <w:rsid w:val="008C3BD0"/>
    <w:rsid w:val="008C440E"/>
    <w:rsid w:val="008C45E6"/>
    <w:rsid w:val="008C47D9"/>
    <w:rsid w:val="008C481C"/>
    <w:rsid w:val="008C4EBF"/>
    <w:rsid w:val="008C6107"/>
    <w:rsid w:val="008C694F"/>
    <w:rsid w:val="008C7314"/>
    <w:rsid w:val="008D0999"/>
    <w:rsid w:val="008D455B"/>
    <w:rsid w:val="008D4F31"/>
    <w:rsid w:val="008D552A"/>
    <w:rsid w:val="008D6F89"/>
    <w:rsid w:val="008D795F"/>
    <w:rsid w:val="008D7ACC"/>
    <w:rsid w:val="008E0B4A"/>
    <w:rsid w:val="008E1B11"/>
    <w:rsid w:val="008E1B1E"/>
    <w:rsid w:val="008E2093"/>
    <w:rsid w:val="008E2D6A"/>
    <w:rsid w:val="008E30AC"/>
    <w:rsid w:val="008E36F3"/>
    <w:rsid w:val="008E3DF6"/>
    <w:rsid w:val="008E471B"/>
    <w:rsid w:val="008E49B2"/>
    <w:rsid w:val="008E4A6C"/>
    <w:rsid w:val="008E54DF"/>
    <w:rsid w:val="008E594C"/>
    <w:rsid w:val="008E69FA"/>
    <w:rsid w:val="008E72D9"/>
    <w:rsid w:val="008F191A"/>
    <w:rsid w:val="008F225A"/>
    <w:rsid w:val="008F2328"/>
    <w:rsid w:val="008F25DF"/>
    <w:rsid w:val="008F3232"/>
    <w:rsid w:val="008F3596"/>
    <w:rsid w:val="008F488C"/>
    <w:rsid w:val="008F5DDB"/>
    <w:rsid w:val="008F6149"/>
    <w:rsid w:val="008F6345"/>
    <w:rsid w:val="008F66A4"/>
    <w:rsid w:val="008F6A61"/>
    <w:rsid w:val="008F6CC0"/>
    <w:rsid w:val="008F731D"/>
    <w:rsid w:val="00900B46"/>
    <w:rsid w:val="00900E71"/>
    <w:rsid w:val="00902ED3"/>
    <w:rsid w:val="00902F5D"/>
    <w:rsid w:val="00903597"/>
    <w:rsid w:val="00903A1C"/>
    <w:rsid w:val="00905D63"/>
    <w:rsid w:val="00905E6D"/>
    <w:rsid w:val="00906BE0"/>
    <w:rsid w:val="00910CF3"/>
    <w:rsid w:val="0091340E"/>
    <w:rsid w:val="00913D70"/>
    <w:rsid w:val="00913FB8"/>
    <w:rsid w:val="00915758"/>
    <w:rsid w:val="00915CC2"/>
    <w:rsid w:val="0091631E"/>
    <w:rsid w:val="00916366"/>
    <w:rsid w:val="00916A77"/>
    <w:rsid w:val="0092020C"/>
    <w:rsid w:val="00920FB8"/>
    <w:rsid w:val="009215F3"/>
    <w:rsid w:val="009217A6"/>
    <w:rsid w:val="00922C6D"/>
    <w:rsid w:val="009265FB"/>
    <w:rsid w:val="00927033"/>
    <w:rsid w:val="009272AD"/>
    <w:rsid w:val="00930386"/>
    <w:rsid w:val="009312E7"/>
    <w:rsid w:val="00931FE8"/>
    <w:rsid w:val="009321CB"/>
    <w:rsid w:val="009325B9"/>
    <w:rsid w:val="00932FBC"/>
    <w:rsid w:val="00933656"/>
    <w:rsid w:val="00933DCF"/>
    <w:rsid w:val="0093458C"/>
    <w:rsid w:val="009347F4"/>
    <w:rsid w:val="00934E58"/>
    <w:rsid w:val="009357DF"/>
    <w:rsid w:val="00936F46"/>
    <w:rsid w:val="00940045"/>
    <w:rsid w:val="00940F4A"/>
    <w:rsid w:val="009414F1"/>
    <w:rsid w:val="009424B8"/>
    <w:rsid w:val="00942598"/>
    <w:rsid w:val="0094431A"/>
    <w:rsid w:val="00947157"/>
    <w:rsid w:val="00947B6E"/>
    <w:rsid w:val="00950AD7"/>
    <w:rsid w:val="00950DBB"/>
    <w:rsid w:val="00951AE6"/>
    <w:rsid w:val="00952ED0"/>
    <w:rsid w:val="00955505"/>
    <w:rsid w:val="00955FC4"/>
    <w:rsid w:val="00956CB5"/>
    <w:rsid w:val="00957BE9"/>
    <w:rsid w:val="0096117F"/>
    <w:rsid w:val="0096128B"/>
    <w:rsid w:val="0096577F"/>
    <w:rsid w:val="0096644E"/>
    <w:rsid w:val="009668A2"/>
    <w:rsid w:val="00967204"/>
    <w:rsid w:val="0097013E"/>
    <w:rsid w:val="0097128B"/>
    <w:rsid w:val="00972E41"/>
    <w:rsid w:val="009732BD"/>
    <w:rsid w:val="00974B60"/>
    <w:rsid w:val="00974DBD"/>
    <w:rsid w:val="00976D25"/>
    <w:rsid w:val="00976E5E"/>
    <w:rsid w:val="0098027C"/>
    <w:rsid w:val="009810BA"/>
    <w:rsid w:val="00981465"/>
    <w:rsid w:val="009827AF"/>
    <w:rsid w:val="00982EB2"/>
    <w:rsid w:val="00983604"/>
    <w:rsid w:val="009858EE"/>
    <w:rsid w:val="00986A98"/>
    <w:rsid w:val="00987D4C"/>
    <w:rsid w:val="00990E1D"/>
    <w:rsid w:val="0099128C"/>
    <w:rsid w:val="00992271"/>
    <w:rsid w:val="00993086"/>
    <w:rsid w:val="00993292"/>
    <w:rsid w:val="009946EA"/>
    <w:rsid w:val="00994A93"/>
    <w:rsid w:val="0099515D"/>
    <w:rsid w:val="009955EB"/>
    <w:rsid w:val="00995E45"/>
    <w:rsid w:val="00997B68"/>
    <w:rsid w:val="009A0D80"/>
    <w:rsid w:val="009A0E0B"/>
    <w:rsid w:val="009A1861"/>
    <w:rsid w:val="009A1B83"/>
    <w:rsid w:val="009A1C57"/>
    <w:rsid w:val="009A21EC"/>
    <w:rsid w:val="009A32BB"/>
    <w:rsid w:val="009A3B82"/>
    <w:rsid w:val="009A5A00"/>
    <w:rsid w:val="009A5B69"/>
    <w:rsid w:val="009A72CB"/>
    <w:rsid w:val="009A79A4"/>
    <w:rsid w:val="009B007E"/>
    <w:rsid w:val="009B06E6"/>
    <w:rsid w:val="009B0A28"/>
    <w:rsid w:val="009B3C06"/>
    <w:rsid w:val="009B3C56"/>
    <w:rsid w:val="009B3F5B"/>
    <w:rsid w:val="009B543A"/>
    <w:rsid w:val="009B5E57"/>
    <w:rsid w:val="009B6197"/>
    <w:rsid w:val="009B6356"/>
    <w:rsid w:val="009B6DFC"/>
    <w:rsid w:val="009B6EBE"/>
    <w:rsid w:val="009B6EC1"/>
    <w:rsid w:val="009B705C"/>
    <w:rsid w:val="009B7605"/>
    <w:rsid w:val="009B7C4A"/>
    <w:rsid w:val="009C002D"/>
    <w:rsid w:val="009C180B"/>
    <w:rsid w:val="009C2146"/>
    <w:rsid w:val="009C2EF3"/>
    <w:rsid w:val="009C3064"/>
    <w:rsid w:val="009C3C20"/>
    <w:rsid w:val="009C3E36"/>
    <w:rsid w:val="009C41FF"/>
    <w:rsid w:val="009C42D7"/>
    <w:rsid w:val="009C4A05"/>
    <w:rsid w:val="009C5A27"/>
    <w:rsid w:val="009C5E37"/>
    <w:rsid w:val="009C5EDA"/>
    <w:rsid w:val="009C687A"/>
    <w:rsid w:val="009C753C"/>
    <w:rsid w:val="009D01F8"/>
    <w:rsid w:val="009D068D"/>
    <w:rsid w:val="009D1EA5"/>
    <w:rsid w:val="009D2909"/>
    <w:rsid w:val="009D2E77"/>
    <w:rsid w:val="009D32F2"/>
    <w:rsid w:val="009D4201"/>
    <w:rsid w:val="009D44D4"/>
    <w:rsid w:val="009D4CEE"/>
    <w:rsid w:val="009D5D21"/>
    <w:rsid w:val="009D648B"/>
    <w:rsid w:val="009D65E2"/>
    <w:rsid w:val="009D6B74"/>
    <w:rsid w:val="009D6DE0"/>
    <w:rsid w:val="009D7999"/>
    <w:rsid w:val="009D7D36"/>
    <w:rsid w:val="009E0CFC"/>
    <w:rsid w:val="009E2114"/>
    <w:rsid w:val="009E2C57"/>
    <w:rsid w:val="009E2FD2"/>
    <w:rsid w:val="009E3DA8"/>
    <w:rsid w:val="009E4044"/>
    <w:rsid w:val="009E40E4"/>
    <w:rsid w:val="009E4940"/>
    <w:rsid w:val="009E5198"/>
    <w:rsid w:val="009E6A96"/>
    <w:rsid w:val="009E7756"/>
    <w:rsid w:val="009E7F8F"/>
    <w:rsid w:val="009F2437"/>
    <w:rsid w:val="009F64BD"/>
    <w:rsid w:val="009F6C85"/>
    <w:rsid w:val="009F6DEF"/>
    <w:rsid w:val="009F7850"/>
    <w:rsid w:val="009F7F47"/>
    <w:rsid w:val="00A006E1"/>
    <w:rsid w:val="00A0210E"/>
    <w:rsid w:val="00A022D0"/>
    <w:rsid w:val="00A05942"/>
    <w:rsid w:val="00A07070"/>
    <w:rsid w:val="00A07358"/>
    <w:rsid w:val="00A07419"/>
    <w:rsid w:val="00A1086A"/>
    <w:rsid w:val="00A109AA"/>
    <w:rsid w:val="00A10FDB"/>
    <w:rsid w:val="00A111C6"/>
    <w:rsid w:val="00A122E2"/>
    <w:rsid w:val="00A12E8F"/>
    <w:rsid w:val="00A13678"/>
    <w:rsid w:val="00A13A02"/>
    <w:rsid w:val="00A151EF"/>
    <w:rsid w:val="00A15B3F"/>
    <w:rsid w:val="00A15DE3"/>
    <w:rsid w:val="00A1642D"/>
    <w:rsid w:val="00A16438"/>
    <w:rsid w:val="00A166F8"/>
    <w:rsid w:val="00A16D12"/>
    <w:rsid w:val="00A17D95"/>
    <w:rsid w:val="00A21B5D"/>
    <w:rsid w:val="00A229B0"/>
    <w:rsid w:val="00A23AA8"/>
    <w:rsid w:val="00A23B01"/>
    <w:rsid w:val="00A2438C"/>
    <w:rsid w:val="00A247B5"/>
    <w:rsid w:val="00A2547E"/>
    <w:rsid w:val="00A2710F"/>
    <w:rsid w:val="00A315EC"/>
    <w:rsid w:val="00A31941"/>
    <w:rsid w:val="00A31B3F"/>
    <w:rsid w:val="00A31D52"/>
    <w:rsid w:val="00A31EEC"/>
    <w:rsid w:val="00A326D5"/>
    <w:rsid w:val="00A32FD6"/>
    <w:rsid w:val="00A33709"/>
    <w:rsid w:val="00A34921"/>
    <w:rsid w:val="00A34A27"/>
    <w:rsid w:val="00A35475"/>
    <w:rsid w:val="00A3748C"/>
    <w:rsid w:val="00A37A1A"/>
    <w:rsid w:val="00A37AF3"/>
    <w:rsid w:val="00A401B7"/>
    <w:rsid w:val="00A40FE5"/>
    <w:rsid w:val="00A41045"/>
    <w:rsid w:val="00A41638"/>
    <w:rsid w:val="00A416EE"/>
    <w:rsid w:val="00A419F0"/>
    <w:rsid w:val="00A42302"/>
    <w:rsid w:val="00A424A3"/>
    <w:rsid w:val="00A43011"/>
    <w:rsid w:val="00A43CA7"/>
    <w:rsid w:val="00A44380"/>
    <w:rsid w:val="00A44D40"/>
    <w:rsid w:val="00A44E7C"/>
    <w:rsid w:val="00A470C6"/>
    <w:rsid w:val="00A47EBA"/>
    <w:rsid w:val="00A47F51"/>
    <w:rsid w:val="00A47F7F"/>
    <w:rsid w:val="00A50D80"/>
    <w:rsid w:val="00A51DBC"/>
    <w:rsid w:val="00A5293B"/>
    <w:rsid w:val="00A54601"/>
    <w:rsid w:val="00A5485E"/>
    <w:rsid w:val="00A55E20"/>
    <w:rsid w:val="00A57A41"/>
    <w:rsid w:val="00A6027D"/>
    <w:rsid w:val="00A6184D"/>
    <w:rsid w:val="00A62122"/>
    <w:rsid w:val="00A63216"/>
    <w:rsid w:val="00A658A4"/>
    <w:rsid w:val="00A65B98"/>
    <w:rsid w:val="00A660FD"/>
    <w:rsid w:val="00A67434"/>
    <w:rsid w:val="00A67842"/>
    <w:rsid w:val="00A700A9"/>
    <w:rsid w:val="00A703E2"/>
    <w:rsid w:val="00A70549"/>
    <w:rsid w:val="00A70B8E"/>
    <w:rsid w:val="00A71385"/>
    <w:rsid w:val="00A71468"/>
    <w:rsid w:val="00A7319E"/>
    <w:rsid w:val="00A74844"/>
    <w:rsid w:val="00A7598A"/>
    <w:rsid w:val="00A76149"/>
    <w:rsid w:val="00A766FB"/>
    <w:rsid w:val="00A7793A"/>
    <w:rsid w:val="00A8042C"/>
    <w:rsid w:val="00A8064E"/>
    <w:rsid w:val="00A80C07"/>
    <w:rsid w:val="00A828A9"/>
    <w:rsid w:val="00A82E0C"/>
    <w:rsid w:val="00A835CF"/>
    <w:rsid w:val="00A85C02"/>
    <w:rsid w:val="00A85D05"/>
    <w:rsid w:val="00A85FB0"/>
    <w:rsid w:val="00A860D2"/>
    <w:rsid w:val="00A87749"/>
    <w:rsid w:val="00A87B11"/>
    <w:rsid w:val="00A903D8"/>
    <w:rsid w:val="00A91186"/>
    <w:rsid w:val="00A91465"/>
    <w:rsid w:val="00A919DE"/>
    <w:rsid w:val="00A935EB"/>
    <w:rsid w:val="00A94134"/>
    <w:rsid w:val="00A94815"/>
    <w:rsid w:val="00A94846"/>
    <w:rsid w:val="00A95547"/>
    <w:rsid w:val="00A955DC"/>
    <w:rsid w:val="00A95D98"/>
    <w:rsid w:val="00A95F53"/>
    <w:rsid w:val="00A96B0D"/>
    <w:rsid w:val="00A96E25"/>
    <w:rsid w:val="00AA06FD"/>
    <w:rsid w:val="00AA0C85"/>
    <w:rsid w:val="00AA0E2A"/>
    <w:rsid w:val="00AA14FC"/>
    <w:rsid w:val="00AA2A6D"/>
    <w:rsid w:val="00AA4D2A"/>
    <w:rsid w:val="00AA58B8"/>
    <w:rsid w:val="00AA5AEA"/>
    <w:rsid w:val="00AA7A15"/>
    <w:rsid w:val="00AB1CBF"/>
    <w:rsid w:val="00AB2A05"/>
    <w:rsid w:val="00AB40D1"/>
    <w:rsid w:val="00AB4684"/>
    <w:rsid w:val="00AB770F"/>
    <w:rsid w:val="00AB7D93"/>
    <w:rsid w:val="00AC007F"/>
    <w:rsid w:val="00AC0867"/>
    <w:rsid w:val="00AC0E4C"/>
    <w:rsid w:val="00AC2D68"/>
    <w:rsid w:val="00AC312A"/>
    <w:rsid w:val="00AC35CE"/>
    <w:rsid w:val="00AC426B"/>
    <w:rsid w:val="00AC5D50"/>
    <w:rsid w:val="00AC640B"/>
    <w:rsid w:val="00AC7189"/>
    <w:rsid w:val="00AC736F"/>
    <w:rsid w:val="00AC7D7F"/>
    <w:rsid w:val="00AD09EF"/>
    <w:rsid w:val="00AD0D49"/>
    <w:rsid w:val="00AD1399"/>
    <w:rsid w:val="00AD1A97"/>
    <w:rsid w:val="00AD1C3E"/>
    <w:rsid w:val="00AD2EE2"/>
    <w:rsid w:val="00AD3264"/>
    <w:rsid w:val="00AD3A88"/>
    <w:rsid w:val="00AD3E8F"/>
    <w:rsid w:val="00AD48A3"/>
    <w:rsid w:val="00AD4DD8"/>
    <w:rsid w:val="00AD4F09"/>
    <w:rsid w:val="00AD5650"/>
    <w:rsid w:val="00AD5DEE"/>
    <w:rsid w:val="00AD5F94"/>
    <w:rsid w:val="00AD60DC"/>
    <w:rsid w:val="00AD65F1"/>
    <w:rsid w:val="00AD66B1"/>
    <w:rsid w:val="00AD7081"/>
    <w:rsid w:val="00AD72E5"/>
    <w:rsid w:val="00AE2152"/>
    <w:rsid w:val="00AE6182"/>
    <w:rsid w:val="00AE6293"/>
    <w:rsid w:val="00AE63AC"/>
    <w:rsid w:val="00AE7FA9"/>
    <w:rsid w:val="00AF0188"/>
    <w:rsid w:val="00AF337B"/>
    <w:rsid w:val="00AF3A69"/>
    <w:rsid w:val="00AF3EC3"/>
    <w:rsid w:val="00AF4333"/>
    <w:rsid w:val="00AF70B9"/>
    <w:rsid w:val="00AF76DC"/>
    <w:rsid w:val="00AF78FC"/>
    <w:rsid w:val="00B0058E"/>
    <w:rsid w:val="00B00A6B"/>
    <w:rsid w:val="00B011E0"/>
    <w:rsid w:val="00B012DB"/>
    <w:rsid w:val="00B01C55"/>
    <w:rsid w:val="00B02347"/>
    <w:rsid w:val="00B02416"/>
    <w:rsid w:val="00B02D8E"/>
    <w:rsid w:val="00B02FD8"/>
    <w:rsid w:val="00B03ECB"/>
    <w:rsid w:val="00B0423A"/>
    <w:rsid w:val="00B04990"/>
    <w:rsid w:val="00B05064"/>
    <w:rsid w:val="00B05D68"/>
    <w:rsid w:val="00B06720"/>
    <w:rsid w:val="00B06F10"/>
    <w:rsid w:val="00B07F05"/>
    <w:rsid w:val="00B07F07"/>
    <w:rsid w:val="00B103E0"/>
    <w:rsid w:val="00B117A5"/>
    <w:rsid w:val="00B12567"/>
    <w:rsid w:val="00B13BA4"/>
    <w:rsid w:val="00B158BE"/>
    <w:rsid w:val="00B172DB"/>
    <w:rsid w:val="00B21077"/>
    <w:rsid w:val="00B21094"/>
    <w:rsid w:val="00B21171"/>
    <w:rsid w:val="00B2141E"/>
    <w:rsid w:val="00B22BDC"/>
    <w:rsid w:val="00B22CF8"/>
    <w:rsid w:val="00B22FC6"/>
    <w:rsid w:val="00B24A1C"/>
    <w:rsid w:val="00B257AB"/>
    <w:rsid w:val="00B25DE2"/>
    <w:rsid w:val="00B27180"/>
    <w:rsid w:val="00B274DA"/>
    <w:rsid w:val="00B32312"/>
    <w:rsid w:val="00B32A14"/>
    <w:rsid w:val="00B3378D"/>
    <w:rsid w:val="00B34CCC"/>
    <w:rsid w:val="00B35C1C"/>
    <w:rsid w:val="00B372C5"/>
    <w:rsid w:val="00B3794F"/>
    <w:rsid w:val="00B37AB2"/>
    <w:rsid w:val="00B37B5F"/>
    <w:rsid w:val="00B40033"/>
    <w:rsid w:val="00B4080B"/>
    <w:rsid w:val="00B42469"/>
    <w:rsid w:val="00B447D9"/>
    <w:rsid w:val="00B45070"/>
    <w:rsid w:val="00B4584B"/>
    <w:rsid w:val="00B45FCE"/>
    <w:rsid w:val="00B47000"/>
    <w:rsid w:val="00B4777D"/>
    <w:rsid w:val="00B5062E"/>
    <w:rsid w:val="00B50764"/>
    <w:rsid w:val="00B507AD"/>
    <w:rsid w:val="00B50F4A"/>
    <w:rsid w:val="00B511FB"/>
    <w:rsid w:val="00B51DDB"/>
    <w:rsid w:val="00B51FBC"/>
    <w:rsid w:val="00B525A2"/>
    <w:rsid w:val="00B53A7A"/>
    <w:rsid w:val="00B53E7D"/>
    <w:rsid w:val="00B5424A"/>
    <w:rsid w:val="00B54A27"/>
    <w:rsid w:val="00B5522B"/>
    <w:rsid w:val="00B55B6F"/>
    <w:rsid w:val="00B55FD1"/>
    <w:rsid w:val="00B60C3A"/>
    <w:rsid w:val="00B61DBB"/>
    <w:rsid w:val="00B64143"/>
    <w:rsid w:val="00B65C82"/>
    <w:rsid w:val="00B65D57"/>
    <w:rsid w:val="00B65DD7"/>
    <w:rsid w:val="00B65F99"/>
    <w:rsid w:val="00B6791C"/>
    <w:rsid w:val="00B67D54"/>
    <w:rsid w:val="00B704A3"/>
    <w:rsid w:val="00B70D67"/>
    <w:rsid w:val="00B73262"/>
    <w:rsid w:val="00B7355C"/>
    <w:rsid w:val="00B73B70"/>
    <w:rsid w:val="00B73C46"/>
    <w:rsid w:val="00B74A56"/>
    <w:rsid w:val="00B75B3C"/>
    <w:rsid w:val="00B764D2"/>
    <w:rsid w:val="00B76A13"/>
    <w:rsid w:val="00B77100"/>
    <w:rsid w:val="00B80704"/>
    <w:rsid w:val="00B80BDE"/>
    <w:rsid w:val="00B812E9"/>
    <w:rsid w:val="00B81CCE"/>
    <w:rsid w:val="00B825A2"/>
    <w:rsid w:val="00B8289C"/>
    <w:rsid w:val="00B83B0B"/>
    <w:rsid w:val="00B83C24"/>
    <w:rsid w:val="00B83E52"/>
    <w:rsid w:val="00B8409D"/>
    <w:rsid w:val="00B85E1B"/>
    <w:rsid w:val="00B861D6"/>
    <w:rsid w:val="00B8657C"/>
    <w:rsid w:val="00B900FC"/>
    <w:rsid w:val="00B90437"/>
    <w:rsid w:val="00B90D35"/>
    <w:rsid w:val="00B93570"/>
    <w:rsid w:val="00B93CE6"/>
    <w:rsid w:val="00B94F8A"/>
    <w:rsid w:val="00B96BEB"/>
    <w:rsid w:val="00B97B92"/>
    <w:rsid w:val="00BA1875"/>
    <w:rsid w:val="00BA2353"/>
    <w:rsid w:val="00BA2C17"/>
    <w:rsid w:val="00BA4102"/>
    <w:rsid w:val="00BA4441"/>
    <w:rsid w:val="00BA5221"/>
    <w:rsid w:val="00BA63B9"/>
    <w:rsid w:val="00BA76DF"/>
    <w:rsid w:val="00BA7DAE"/>
    <w:rsid w:val="00BA7F92"/>
    <w:rsid w:val="00BB02A1"/>
    <w:rsid w:val="00BB1456"/>
    <w:rsid w:val="00BB1523"/>
    <w:rsid w:val="00BB174A"/>
    <w:rsid w:val="00BB3D48"/>
    <w:rsid w:val="00BB4AA3"/>
    <w:rsid w:val="00BB5759"/>
    <w:rsid w:val="00BB5AF6"/>
    <w:rsid w:val="00BB7D7C"/>
    <w:rsid w:val="00BC0823"/>
    <w:rsid w:val="00BC196A"/>
    <w:rsid w:val="00BC2AD5"/>
    <w:rsid w:val="00BC2F53"/>
    <w:rsid w:val="00BC6623"/>
    <w:rsid w:val="00BC69F6"/>
    <w:rsid w:val="00BC70A5"/>
    <w:rsid w:val="00BC73DD"/>
    <w:rsid w:val="00BD0989"/>
    <w:rsid w:val="00BD0EB3"/>
    <w:rsid w:val="00BD1367"/>
    <w:rsid w:val="00BD2101"/>
    <w:rsid w:val="00BD26B8"/>
    <w:rsid w:val="00BD430D"/>
    <w:rsid w:val="00BD482B"/>
    <w:rsid w:val="00BD4A34"/>
    <w:rsid w:val="00BD4A6C"/>
    <w:rsid w:val="00BD6B74"/>
    <w:rsid w:val="00BE02D7"/>
    <w:rsid w:val="00BE302C"/>
    <w:rsid w:val="00BE4135"/>
    <w:rsid w:val="00BE41BC"/>
    <w:rsid w:val="00BE443B"/>
    <w:rsid w:val="00BE45FC"/>
    <w:rsid w:val="00BE4A02"/>
    <w:rsid w:val="00BE5F48"/>
    <w:rsid w:val="00BE6104"/>
    <w:rsid w:val="00BE64CF"/>
    <w:rsid w:val="00BE64D7"/>
    <w:rsid w:val="00BE6993"/>
    <w:rsid w:val="00BE72DE"/>
    <w:rsid w:val="00BF08FA"/>
    <w:rsid w:val="00BF0B20"/>
    <w:rsid w:val="00BF0B8B"/>
    <w:rsid w:val="00BF1A80"/>
    <w:rsid w:val="00BF2A3D"/>
    <w:rsid w:val="00BF2B76"/>
    <w:rsid w:val="00BF2CBD"/>
    <w:rsid w:val="00BF3287"/>
    <w:rsid w:val="00BF40BE"/>
    <w:rsid w:val="00BF43E2"/>
    <w:rsid w:val="00BF5BAC"/>
    <w:rsid w:val="00C001E8"/>
    <w:rsid w:val="00C00E28"/>
    <w:rsid w:val="00C0135C"/>
    <w:rsid w:val="00C0312E"/>
    <w:rsid w:val="00C059CC"/>
    <w:rsid w:val="00C05A38"/>
    <w:rsid w:val="00C07906"/>
    <w:rsid w:val="00C1597B"/>
    <w:rsid w:val="00C17245"/>
    <w:rsid w:val="00C20275"/>
    <w:rsid w:val="00C20BAC"/>
    <w:rsid w:val="00C2145F"/>
    <w:rsid w:val="00C21E7E"/>
    <w:rsid w:val="00C22C24"/>
    <w:rsid w:val="00C22FB0"/>
    <w:rsid w:val="00C2307F"/>
    <w:rsid w:val="00C23C6B"/>
    <w:rsid w:val="00C241E7"/>
    <w:rsid w:val="00C2424A"/>
    <w:rsid w:val="00C2658C"/>
    <w:rsid w:val="00C26D41"/>
    <w:rsid w:val="00C26E08"/>
    <w:rsid w:val="00C27C06"/>
    <w:rsid w:val="00C30BEC"/>
    <w:rsid w:val="00C31C44"/>
    <w:rsid w:val="00C329B3"/>
    <w:rsid w:val="00C32A4B"/>
    <w:rsid w:val="00C356B7"/>
    <w:rsid w:val="00C35BC7"/>
    <w:rsid w:val="00C36B35"/>
    <w:rsid w:val="00C40F43"/>
    <w:rsid w:val="00C4107E"/>
    <w:rsid w:val="00C42823"/>
    <w:rsid w:val="00C432F8"/>
    <w:rsid w:val="00C43891"/>
    <w:rsid w:val="00C444B2"/>
    <w:rsid w:val="00C44514"/>
    <w:rsid w:val="00C44586"/>
    <w:rsid w:val="00C44A77"/>
    <w:rsid w:val="00C47EE6"/>
    <w:rsid w:val="00C52069"/>
    <w:rsid w:val="00C523AC"/>
    <w:rsid w:val="00C527F2"/>
    <w:rsid w:val="00C52C5A"/>
    <w:rsid w:val="00C53862"/>
    <w:rsid w:val="00C53A4C"/>
    <w:rsid w:val="00C54FE9"/>
    <w:rsid w:val="00C60D1B"/>
    <w:rsid w:val="00C64D09"/>
    <w:rsid w:val="00C65360"/>
    <w:rsid w:val="00C70709"/>
    <w:rsid w:val="00C70EB2"/>
    <w:rsid w:val="00C71899"/>
    <w:rsid w:val="00C72D8A"/>
    <w:rsid w:val="00C732AE"/>
    <w:rsid w:val="00C734B6"/>
    <w:rsid w:val="00C73A16"/>
    <w:rsid w:val="00C7414C"/>
    <w:rsid w:val="00C74708"/>
    <w:rsid w:val="00C751EF"/>
    <w:rsid w:val="00C76842"/>
    <w:rsid w:val="00C804D1"/>
    <w:rsid w:val="00C80E11"/>
    <w:rsid w:val="00C822E1"/>
    <w:rsid w:val="00C825AF"/>
    <w:rsid w:val="00C82790"/>
    <w:rsid w:val="00C82C19"/>
    <w:rsid w:val="00C82CEF"/>
    <w:rsid w:val="00C82D72"/>
    <w:rsid w:val="00C83B98"/>
    <w:rsid w:val="00C84C9C"/>
    <w:rsid w:val="00C84DF0"/>
    <w:rsid w:val="00C85F35"/>
    <w:rsid w:val="00C87015"/>
    <w:rsid w:val="00C874D2"/>
    <w:rsid w:val="00C879BC"/>
    <w:rsid w:val="00C87CFF"/>
    <w:rsid w:val="00C904F8"/>
    <w:rsid w:val="00C90D93"/>
    <w:rsid w:val="00C90FF8"/>
    <w:rsid w:val="00C91093"/>
    <w:rsid w:val="00C910FC"/>
    <w:rsid w:val="00C9118B"/>
    <w:rsid w:val="00C928F9"/>
    <w:rsid w:val="00C93D69"/>
    <w:rsid w:val="00C94476"/>
    <w:rsid w:val="00C950EA"/>
    <w:rsid w:val="00C95EB6"/>
    <w:rsid w:val="00C9607F"/>
    <w:rsid w:val="00CA0068"/>
    <w:rsid w:val="00CA0573"/>
    <w:rsid w:val="00CA1A30"/>
    <w:rsid w:val="00CA353F"/>
    <w:rsid w:val="00CA3FB9"/>
    <w:rsid w:val="00CA63C5"/>
    <w:rsid w:val="00CA7873"/>
    <w:rsid w:val="00CB01A3"/>
    <w:rsid w:val="00CB109A"/>
    <w:rsid w:val="00CB3339"/>
    <w:rsid w:val="00CB34CB"/>
    <w:rsid w:val="00CB3EE1"/>
    <w:rsid w:val="00CB4F14"/>
    <w:rsid w:val="00CC21B0"/>
    <w:rsid w:val="00CC26E3"/>
    <w:rsid w:val="00CC3A00"/>
    <w:rsid w:val="00CC4832"/>
    <w:rsid w:val="00CC5044"/>
    <w:rsid w:val="00CC52A6"/>
    <w:rsid w:val="00CC562D"/>
    <w:rsid w:val="00CC66A8"/>
    <w:rsid w:val="00CD055D"/>
    <w:rsid w:val="00CD11CC"/>
    <w:rsid w:val="00CD1879"/>
    <w:rsid w:val="00CD258E"/>
    <w:rsid w:val="00CD2E87"/>
    <w:rsid w:val="00CD4165"/>
    <w:rsid w:val="00CD5D2C"/>
    <w:rsid w:val="00CE09A5"/>
    <w:rsid w:val="00CE0E1D"/>
    <w:rsid w:val="00CE22F1"/>
    <w:rsid w:val="00CE4E45"/>
    <w:rsid w:val="00CE60E4"/>
    <w:rsid w:val="00CE7366"/>
    <w:rsid w:val="00CF1ECC"/>
    <w:rsid w:val="00CF2172"/>
    <w:rsid w:val="00CF4FD0"/>
    <w:rsid w:val="00CF51D3"/>
    <w:rsid w:val="00CF5F1F"/>
    <w:rsid w:val="00CF7085"/>
    <w:rsid w:val="00D016AB"/>
    <w:rsid w:val="00D02FAC"/>
    <w:rsid w:val="00D03192"/>
    <w:rsid w:val="00D03BA4"/>
    <w:rsid w:val="00D04C13"/>
    <w:rsid w:val="00D04EF2"/>
    <w:rsid w:val="00D06859"/>
    <w:rsid w:val="00D073A5"/>
    <w:rsid w:val="00D1119A"/>
    <w:rsid w:val="00D128F7"/>
    <w:rsid w:val="00D12AB3"/>
    <w:rsid w:val="00D13B63"/>
    <w:rsid w:val="00D15A48"/>
    <w:rsid w:val="00D17B93"/>
    <w:rsid w:val="00D20CBA"/>
    <w:rsid w:val="00D21E72"/>
    <w:rsid w:val="00D228CB"/>
    <w:rsid w:val="00D23065"/>
    <w:rsid w:val="00D25888"/>
    <w:rsid w:val="00D25E9E"/>
    <w:rsid w:val="00D30A1F"/>
    <w:rsid w:val="00D30D9D"/>
    <w:rsid w:val="00D31A66"/>
    <w:rsid w:val="00D32F27"/>
    <w:rsid w:val="00D35E63"/>
    <w:rsid w:val="00D36818"/>
    <w:rsid w:val="00D373DE"/>
    <w:rsid w:val="00D4048A"/>
    <w:rsid w:val="00D40A8F"/>
    <w:rsid w:val="00D40F49"/>
    <w:rsid w:val="00D40F62"/>
    <w:rsid w:val="00D428C2"/>
    <w:rsid w:val="00D438FF"/>
    <w:rsid w:val="00D43D95"/>
    <w:rsid w:val="00D4416D"/>
    <w:rsid w:val="00D44CB6"/>
    <w:rsid w:val="00D45CE5"/>
    <w:rsid w:val="00D45F08"/>
    <w:rsid w:val="00D46548"/>
    <w:rsid w:val="00D47089"/>
    <w:rsid w:val="00D479FF"/>
    <w:rsid w:val="00D47CA3"/>
    <w:rsid w:val="00D47D74"/>
    <w:rsid w:val="00D47FBF"/>
    <w:rsid w:val="00D500AD"/>
    <w:rsid w:val="00D505B7"/>
    <w:rsid w:val="00D50861"/>
    <w:rsid w:val="00D50E43"/>
    <w:rsid w:val="00D51B80"/>
    <w:rsid w:val="00D5201F"/>
    <w:rsid w:val="00D527D5"/>
    <w:rsid w:val="00D55C86"/>
    <w:rsid w:val="00D5730D"/>
    <w:rsid w:val="00D57F6A"/>
    <w:rsid w:val="00D604C3"/>
    <w:rsid w:val="00D611FD"/>
    <w:rsid w:val="00D616F4"/>
    <w:rsid w:val="00D6294D"/>
    <w:rsid w:val="00D62BC2"/>
    <w:rsid w:val="00D64481"/>
    <w:rsid w:val="00D664B5"/>
    <w:rsid w:val="00D66EDA"/>
    <w:rsid w:val="00D67950"/>
    <w:rsid w:val="00D70963"/>
    <w:rsid w:val="00D70FE5"/>
    <w:rsid w:val="00D71B1B"/>
    <w:rsid w:val="00D71DC4"/>
    <w:rsid w:val="00D72812"/>
    <w:rsid w:val="00D744B1"/>
    <w:rsid w:val="00D75270"/>
    <w:rsid w:val="00D75AC2"/>
    <w:rsid w:val="00D75D38"/>
    <w:rsid w:val="00D76C82"/>
    <w:rsid w:val="00D76FFD"/>
    <w:rsid w:val="00D80F87"/>
    <w:rsid w:val="00D819F7"/>
    <w:rsid w:val="00D81DD3"/>
    <w:rsid w:val="00D81F9F"/>
    <w:rsid w:val="00D82748"/>
    <w:rsid w:val="00D82FFD"/>
    <w:rsid w:val="00D83DFA"/>
    <w:rsid w:val="00D857F0"/>
    <w:rsid w:val="00D8662C"/>
    <w:rsid w:val="00D86AFD"/>
    <w:rsid w:val="00D86D00"/>
    <w:rsid w:val="00D87BC1"/>
    <w:rsid w:val="00D87F58"/>
    <w:rsid w:val="00D90830"/>
    <w:rsid w:val="00D90BFF"/>
    <w:rsid w:val="00D90F2A"/>
    <w:rsid w:val="00D912B4"/>
    <w:rsid w:val="00D91CA2"/>
    <w:rsid w:val="00D92020"/>
    <w:rsid w:val="00D9260B"/>
    <w:rsid w:val="00D92866"/>
    <w:rsid w:val="00D93174"/>
    <w:rsid w:val="00D93295"/>
    <w:rsid w:val="00D93395"/>
    <w:rsid w:val="00D9383B"/>
    <w:rsid w:val="00D94148"/>
    <w:rsid w:val="00D945DB"/>
    <w:rsid w:val="00D95E99"/>
    <w:rsid w:val="00D96E1A"/>
    <w:rsid w:val="00D97C42"/>
    <w:rsid w:val="00DA0E18"/>
    <w:rsid w:val="00DA1763"/>
    <w:rsid w:val="00DA38EF"/>
    <w:rsid w:val="00DA434A"/>
    <w:rsid w:val="00DA533F"/>
    <w:rsid w:val="00DA5945"/>
    <w:rsid w:val="00DA6F7E"/>
    <w:rsid w:val="00DA711A"/>
    <w:rsid w:val="00DA7433"/>
    <w:rsid w:val="00DB044B"/>
    <w:rsid w:val="00DB05FD"/>
    <w:rsid w:val="00DB1E13"/>
    <w:rsid w:val="00DB609A"/>
    <w:rsid w:val="00DB6D8C"/>
    <w:rsid w:val="00DC01A1"/>
    <w:rsid w:val="00DC0BB9"/>
    <w:rsid w:val="00DC1ED6"/>
    <w:rsid w:val="00DC4085"/>
    <w:rsid w:val="00DC4FAC"/>
    <w:rsid w:val="00DC5E18"/>
    <w:rsid w:val="00DD1A1C"/>
    <w:rsid w:val="00DD2728"/>
    <w:rsid w:val="00DD2788"/>
    <w:rsid w:val="00DD34E7"/>
    <w:rsid w:val="00DD466C"/>
    <w:rsid w:val="00DD583A"/>
    <w:rsid w:val="00DD697E"/>
    <w:rsid w:val="00DD6D3D"/>
    <w:rsid w:val="00DD7AF3"/>
    <w:rsid w:val="00DE0BC5"/>
    <w:rsid w:val="00DE4D48"/>
    <w:rsid w:val="00DE5534"/>
    <w:rsid w:val="00DE569B"/>
    <w:rsid w:val="00DE5CBD"/>
    <w:rsid w:val="00DE6138"/>
    <w:rsid w:val="00DF055E"/>
    <w:rsid w:val="00DF0BF4"/>
    <w:rsid w:val="00DF1183"/>
    <w:rsid w:val="00DF165C"/>
    <w:rsid w:val="00DF199B"/>
    <w:rsid w:val="00DF1DF4"/>
    <w:rsid w:val="00DF508A"/>
    <w:rsid w:val="00DF5411"/>
    <w:rsid w:val="00DF57F7"/>
    <w:rsid w:val="00DF760D"/>
    <w:rsid w:val="00E00079"/>
    <w:rsid w:val="00E00283"/>
    <w:rsid w:val="00E02444"/>
    <w:rsid w:val="00E03376"/>
    <w:rsid w:val="00E03FA5"/>
    <w:rsid w:val="00E045FB"/>
    <w:rsid w:val="00E07619"/>
    <w:rsid w:val="00E107C6"/>
    <w:rsid w:val="00E10A49"/>
    <w:rsid w:val="00E10CBF"/>
    <w:rsid w:val="00E117C7"/>
    <w:rsid w:val="00E12A68"/>
    <w:rsid w:val="00E13468"/>
    <w:rsid w:val="00E15194"/>
    <w:rsid w:val="00E16450"/>
    <w:rsid w:val="00E20CD2"/>
    <w:rsid w:val="00E20DBF"/>
    <w:rsid w:val="00E21BB7"/>
    <w:rsid w:val="00E21DAD"/>
    <w:rsid w:val="00E22D5D"/>
    <w:rsid w:val="00E24CE1"/>
    <w:rsid w:val="00E24EC9"/>
    <w:rsid w:val="00E24FF3"/>
    <w:rsid w:val="00E25C62"/>
    <w:rsid w:val="00E26850"/>
    <w:rsid w:val="00E27186"/>
    <w:rsid w:val="00E271E2"/>
    <w:rsid w:val="00E30233"/>
    <w:rsid w:val="00E30C41"/>
    <w:rsid w:val="00E312D4"/>
    <w:rsid w:val="00E32696"/>
    <w:rsid w:val="00E32A0C"/>
    <w:rsid w:val="00E348D4"/>
    <w:rsid w:val="00E36116"/>
    <w:rsid w:val="00E36AC9"/>
    <w:rsid w:val="00E374A0"/>
    <w:rsid w:val="00E41455"/>
    <w:rsid w:val="00E416BE"/>
    <w:rsid w:val="00E418BF"/>
    <w:rsid w:val="00E41B79"/>
    <w:rsid w:val="00E41C7E"/>
    <w:rsid w:val="00E429C0"/>
    <w:rsid w:val="00E42DA7"/>
    <w:rsid w:val="00E431D4"/>
    <w:rsid w:val="00E45856"/>
    <w:rsid w:val="00E463B6"/>
    <w:rsid w:val="00E50EE8"/>
    <w:rsid w:val="00E51658"/>
    <w:rsid w:val="00E52D6F"/>
    <w:rsid w:val="00E52EA3"/>
    <w:rsid w:val="00E53F1E"/>
    <w:rsid w:val="00E54BDA"/>
    <w:rsid w:val="00E561C4"/>
    <w:rsid w:val="00E563B7"/>
    <w:rsid w:val="00E57333"/>
    <w:rsid w:val="00E62CB6"/>
    <w:rsid w:val="00E62DD9"/>
    <w:rsid w:val="00E63DAA"/>
    <w:rsid w:val="00E65909"/>
    <w:rsid w:val="00E66507"/>
    <w:rsid w:val="00E66DA0"/>
    <w:rsid w:val="00E66FE6"/>
    <w:rsid w:val="00E713BD"/>
    <w:rsid w:val="00E722ED"/>
    <w:rsid w:val="00E73723"/>
    <w:rsid w:val="00E73E10"/>
    <w:rsid w:val="00E74EFA"/>
    <w:rsid w:val="00E76964"/>
    <w:rsid w:val="00E80E70"/>
    <w:rsid w:val="00E810FF"/>
    <w:rsid w:val="00E81367"/>
    <w:rsid w:val="00E813DA"/>
    <w:rsid w:val="00E816AF"/>
    <w:rsid w:val="00E81EDB"/>
    <w:rsid w:val="00E825CC"/>
    <w:rsid w:val="00E859FA"/>
    <w:rsid w:val="00E85E5A"/>
    <w:rsid w:val="00E864D9"/>
    <w:rsid w:val="00E86897"/>
    <w:rsid w:val="00E87443"/>
    <w:rsid w:val="00E87B2A"/>
    <w:rsid w:val="00E91AE2"/>
    <w:rsid w:val="00E91FDF"/>
    <w:rsid w:val="00E9224A"/>
    <w:rsid w:val="00E92FBE"/>
    <w:rsid w:val="00E9368A"/>
    <w:rsid w:val="00E93814"/>
    <w:rsid w:val="00E93B42"/>
    <w:rsid w:val="00E94DE8"/>
    <w:rsid w:val="00E956DE"/>
    <w:rsid w:val="00E9598F"/>
    <w:rsid w:val="00E95D96"/>
    <w:rsid w:val="00E96373"/>
    <w:rsid w:val="00E96C1F"/>
    <w:rsid w:val="00E96D9E"/>
    <w:rsid w:val="00EA06CB"/>
    <w:rsid w:val="00EA0E39"/>
    <w:rsid w:val="00EA26CC"/>
    <w:rsid w:val="00EA2A9B"/>
    <w:rsid w:val="00EA477E"/>
    <w:rsid w:val="00EA645E"/>
    <w:rsid w:val="00EA6A85"/>
    <w:rsid w:val="00EA7112"/>
    <w:rsid w:val="00EB02FB"/>
    <w:rsid w:val="00EB0A15"/>
    <w:rsid w:val="00EB1082"/>
    <w:rsid w:val="00EB22B8"/>
    <w:rsid w:val="00EB26FA"/>
    <w:rsid w:val="00EB2B21"/>
    <w:rsid w:val="00EB2D74"/>
    <w:rsid w:val="00EB2ECE"/>
    <w:rsid w:val="00EB346F"/>
    <w:rsid w:val="00EB3B3E"/>
    <w:rsid w:val="00EB3C21"/>
    <w:rsid w:val="00EB4807"/>
    <w:rsid w:val="00EB502C"/>
    <w:rsid w:val="00EB68A0"/>
    <w:rsid w:val="00EB6BE1"/>
    <w:rsid w:val="00EC1445"/>
    <w:rsid w:val="00EC2044"/>
    <w:rsid w:val="00EC20A8"/>
    <w:rsid w:val="00EC25DE"/>
    <w:rsid w:val="00EC34AD"/>
    <w:rsid w:val="00EC42CF"/>
    <w:rsid w:val="00EC42E3"/>
    <w:rsid w:val="00EC5014"/>
    <w:rsid w:val="00EC5EF8"/>
    <w:rsid w:val="00EC71DE"/>
    <w:rsid w:val="00EC736F"/>
    <w:rsid w:val="00EC782B"/>
    <w:rsid w:val="00EC7A4B"/>
    <w:rsid w:val="00ED368C"/>
    <w:rsid w:val="00ED369E"/>
    <w:rsid w:val="00ED4306"/>
    <w:rsid w:val="00ED521A"/>
    <w:rsid w:val="00ED5826"/>
    <w:rsid w:val="00ED66C9"/>
    <w:rsid w:val="00ED6A49"/>
    <w:rsid w:val="00EE32E0"/>
    <w:rsid w:val="00EE348F"/>
    <w:rsid w:val="00EE34A2"/>
    <w:rsid w:val="00EE3874"/>
    <w:rsid w:val="00EE4C74"/>
    <w:rsid w:val="00EE4D07"/>
    <w:rsid w:val="00EE70EC"/>
    <w:rsid w:val="00EF08B5"/>
    <w:rsid w:val="00EF08FC"/>
    <w:rsid w:val="00EF0BB6"/>
    <w:rsid w:val="00EF1A78"/>
    <w:rsid w:val="00EF2AF6"/>
    <w:rsid w:val="00EF3914"/>
    <w:rsid w:val="00EF4836"/>
    <w:rsid w:val="00EF4EEB"/>
    <w:rsid w:val="00EF5908"/>
    <w:rsid w:val="00EF760F"/>
    <w:rsid w:val="00EF7EB8"/>
    <w:rsid w:val="00F0151C"/>
    <w:rsid w:val="00F02348"/>
    <w:rsid w:val="00F02CC7"/>
    <w:rsid w:val="00F03CFE"/>
    <w:rsid w:val="00F061DE"/>
    <w:rsid w:val="00F06513"/>
    <w:rsid w:val="00F11335"/>
    <w:rsid w:val="00F1175E"/>
    <w:rsid w:val="00F134E1"/>
    <w:rsid w:val="00F15551"/>
    <w:rsid w:val="00F15CE4"/>
    <w:rsid w:val="00F177A8"/>
    <w:rsid w:val="00F17FFE"/>
    <w:rsid w:val="00F2211B"/>
    <w:rsid w:val="00F24D1C"/>
    <w:rsid w:val="00F2545D"/>
    <w:rsid w:val="00F261EF"/>
    <w:rsid w:val="00F261F4"/>
    <w:rsid w:val="00F31048"/>
    <w:rsid w:val="00F320F5"/>
    <w:rsid w:val="00F32DA8"/>
    <w:rsid w:val="00F330FB"/>
    <w:rsid w:val="00F33844"/>
    <w:rsid w:val="00F33987"/>
    <w:rsid w:val="00F33C03"/>
    <w:rsid w:val="00F341C4"/>
    <w:rsid w:val="00F3539B"/>
    <w:rsid w:val="00F35403"/>
    <w:rsid w:val="00F3631C"/>
    <w:rsid w:val="00F3652B"/>
    <w:rsid w:val="00F403A4"/>
    <w:rsid w:val="00F40B6D"/>
    <w:rsid w:val="00F413AE"/>
    <w:rsid w:val="00F418D9"/>
    <w:rsid w:val="00F41C53"/>
    <w:rsid w:val="00F434A8"/>
    <w:rsid w:val="00F440ED"/>
    <w:rsid w:val="00F501CF"/>
    <w:rsid w:val="00F52F23"/>
    <w:rsid w:val="00F543FA"/>
    <w:rsid w:val="00F5592D"/>
    <w:rsid w:val="00F55A97"/>
    <w:rsid w:val="00F56EAC"/>
    <w:rsid w:val="00F57B73"/>
    <w:rsid w:val="00F61D69"/>
    <w:rsid w:val="00F61EFF"/>
    <w:rsid w:val="00F62135"/>
    <w:rsid w:val="00F625A7"/>
    <w:rsid w:val="00F63A94"/>
    <w:rsid w:val="00F66B82"/>
    <w:rsid w:val="00F66B9E"/>
    <w:rsid w:val="00F66FDA"/>
    <w:rsid w:val="00F66FF5"/>
    <w:rsid w:val="00F70CC5"/>
    <w:rsid w:val="00F70EFF"/>
    <w:rsid w:val="00F71231"/>
    <w:rsid w:val="00F71C3F"/>
    <w:rsid w:val="00F7208E"/>
    <w:rsid w:val="00F7250D"/>
    <w:rsid w:val="00F729F1"/>
    <w:rsid w:val="00F74093"/>
    <w:rsid w:val="00F750EF"/>
    <w:rsid w:val="00F772B3"/>
    <w:rsid w:val="00F806F9"/>
    <w:rsid w:val="00F8197F"/>
    <w:rsid w:val="00F81F87"/>
    <w:rsid w:val="00F84B7A"/>
    <w:rsid w:val="00F84E35"/>
    <w:rsid w:val="00F8583D"/>
    <w:rsid w:val="00F85A33"/>
    <w:rsid w:val="00F8627B"/>
    <w:rsid w:val="00F864E4"/>
    <w:rsid w:val="00F871E5"/>
    <w:rsid w:val="00F8738A"/>
    <w:rsid w:val="00F905F0"/>
    <w:rsid w:val="00F9067D"/>
    <w:rsid w:val="00F9126D"/>
    <w:rsid w:val="00F91A92"/>
    <w:rsid w:val="00F91CCF"/>
    <w:rsid w:val="00F91F49"/>
    <w:rsid w:val="00F921B1"/>
    <w:rsid w:val="00F9257E"/>
    <w:rsid w:val="00F92617"/>
    <w:rsid w:val="00F926CD"/>
    <w:rsid w:val="00F93F55"/>
    <w:rsid w:val="00F9443A"/>
    <w:rsid w:val="00F9562D"/>
    <w:rsid w:val="00F96118"/>
    <w:rsid w:val="00F97A9D"/>
    <w:rsid w:val="00F97B10"/>
    <w:rsid w:val="00F97F63"/>
    <w:rsid w:val="00FA12CA"/>
    <w:rsid w:val="00FA27E9"/>
    <w:rsid w:val="00FA280F"/>
    <w:rsid w:val="00FA2813"/>
    <w:rsid w:val="00FA2D22"/>
    <w:rsid w:val="00FA548A"/>
    <w:rsid w:val="00FA59B5"/>
    <w:rsid w:val="00FA5BE9"/>
    <w:rsid w:val="00FA6160"/>
    <w:rsid w:val="00FA7C38"/>
    <w:rsid w:val="00FB0ABD"/>
    <w:rsid w:val="00FB2774"/>
    <w:rsid w:val="00FB3DBC"/>
    <w:rsid w:val="00FB4335"/>
    <w:rsid w:val="00FB4A34"/>
    <w:rsid w:val="00FB550C"/>
    <w:rsid w:val="00FB62AB"/>
    <w:rsid w:val="00FB6558"/>
    <w:rsid w:val="00FB6AF3"/>
    <w:rsid w:val="00FB7EE4"/>
    <w:rsid w:val="00FC040F"/>
    <w:rsid w:val="00FC2B9B"/>
    <w:rsid w:val="00FC488A"/>
    <w:rsid w:val="00FC4CF7"/>
    <w:rsid w:val="00FC5EF3"/>
    <w:rsid w:val="00FD0B6D"/>
    <w:rsid w:val="00FD1673"/>
    <w:rsid w:val="00FD3540"/>
    <w:rsid w:val="00FD4E2C"/>
    <w:rsid w:val="00FD5912"/>
    <w:rsid w:val="00FD6392"/>
    <w:rsid w:val="00FD706B"/>
    <w:rsid w:val="00FD7FE9"/>
    <w:rsid w:val="00FE0007"/>
    <w:rsid w:val="00FE0379"/>
    <w:rsid w:val="00FE204A"/>
    <w:rsid w:val="00FE2A23"/>
    <w:rsid w:val="00FE426E"/>
    <w:rsid w:val="00FE4523"/>
    <w:rsid w:val="00FE560E"/>
    <w:rsid w:val="00FE5ACF"/>
    <w:rsid w:val="00FE6929"/>
    <w:rsid w:val="00FF0C81"/>
    <w:rsid w:val="00FF2A48"/>
    <w:rsid w:val="00FF57A2"/>
    <w:rsid w:val="00FF79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2C49"/>
  <w15:docId w15:val="{3A0D7E30-26FD-4DAA-9958-F4FD745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9FC"/>
    <w:pPr>
      <w:overflowPunct w:val="0"/>
    </w:pPr>
    <w:rPr>
      <w:rFonts w:ascii="Calibri" w:eastAsia="Segoe UI" w:hAnsi="Calibri" w:cs="Tahoma"/>
      <w:color w:val="00000A"/>
      <w:lang w:eastAsia="pl-PL"/>
    </w:rPr>
  </w:style>
  <w:style w:type="paragraph" w:styleId="Nagwek1">
    <w:name w:val="heading 1"/>
    <w:basedOn w:val="Gwka"/>
    <w:link w:val="Nagwek1Znak"/>
    <w:rsid w:val="007C25FB"/>
    <w:pPr>
      <w:outlineLvl w:val="0"/>
    </w:pPr>
  </w:style>
  <w:style w:type="paragraph" w:styleId="Nagwek2">
    <w:name w:val="heading 2"/>
    <w:basedOn w:val="Nagwek"/>
    <w:link w:val="Nagwek2Znak"/>
    <w:rsid w:val="007C25FB"/>
    <w:pPr>
      <w:widowControl w:val="0"/>
      <w:spacing w:before="0" w:after="200"/>
      <w:jc w:val="center"/>
      <w:outlineLvl w:val="1"/>
    </w:pPr>
    <w:rPr>
      <w:rFonts w:ascii="Arial" w:hAnsi="Arial" w:cs="Arial"/>
      <w:b/>
      <w:bCs/>
      <w:sz w:val="22"/>
      <w:szCs w:val="22"/>
    </w:rPr>
  </w:style>
  <w:style w:type="paragraph" w:styleId="Nagwek3">
    <w:name w:val="heading 3"/>
    <w:basedOn w:val="Gwka"/>
    <w:link w:val="Nagwek3Znak"/>
    <w:rsid w:val="007C25FB"/>
    <w:pPr>
      <w:outlineLvl w:val="2"/>
    </w:pPr>
  </w:style>
  <w:style w:type="paragraph" w:styleId="Nagwek4">
    <w:name w:val="heading 4"/>
    <w:basedOn w:val="Normalny"/>
    <w:link w:val="Nagwek4Znak"/>
    <w:rsid w:val="007C25FB"/>
    <w:pPr>
      <w:keepNext/>
      <w:keepLines/>
      <w:spacing w:before="200" w:after="0"/>
      <w:outlineLvl w:val="3"/>
    </w:pPr>
    <w:rPr>
      <w:rFonts w:ascii="Cambria" w:hAnsi="Cambria"/>
      <w:b/>
      <w:bCs/>
      <w:i/>
      <w:iCs/>
      <w:color w:val="4F81BD"/>
    </w:rPr>
  </w:style>
  <w:style w:type="paragraph" w:styleId="Nagwek5">
    <w:name w:val="heading 5"/>
    <w:basedOn w:val="Normalny"/>
    <w:link w:val="Nagwek5Znak"/>
    <w:rsid w:val="007C25FB"/>
    <w:pPr>
      <w:keepNext/>
      <w:keepLines/>
      <w:spacing w:before="200" w:after="0"/>
      <w:outlineLvl w:val="4"/>
    </w:pPr>
    <w:rPr>
      <w:rFonts w:ascii="Cambria" w:hAnsi="Cambria"/>
      <w:color w:val="243F60"/>
    </w:rPr>
  </w:style>
  <w:style w:type="paragraph" w:styleId="Nagwek6">
    <w:name w:val="heading 6"/>
    <w:basedOn w:val="Normalny"/>
    <w:link w:val="Nagwek6Znak"/>
    <w:rsid w:val="007C25FB"/>
    <w:pPr>
      <w:keepNext/>
      <w:keepLines/>
      <w:spacing w:before="200" w:after="0"/>
      <w:outlineLvl w:val="5"/>
    </w:pPr>
    <w:rPr>
      <w:rFonts w:ascii="Cambria" w:hAnsi="Cambria"/>
      <w:i/>
      <w:iCs/>
      <w:color w:val="243F60"/>
    </w:rPr>
  </w:style>
  <w:style w:type="paragraph" w:styleId="Nagwek7">
    <w:name w:val="heading 7"/>
    <w:basedOn w:val="Normalny"/>
    <w:link w:val="Nagwek7Znak"/>
    <w:rsid w:val="007C25FB"/>
    <w:pPr>
      <w:keepNext/>
      <w:keepLines/>
      <w:spacing w:before="200" w:after="0"/>
      <w:outlineLvl w:val="6"/>
    </w:pPr>
    <w:rPr>
      <w:rFonts w:ascii="Cambria" w:hAnsi="Cambria"/>
      <w:i/>
      <w:iCs/>
      <w:color w:val="404040"/>
    </w:rPr>
  </w:style>
  <w:style w:type="paragraph" w:styleId="Nagwek8">
    <w:name w:val="heading 8"/>
    <w:basedOn w:val="Normalny"/>
    <w:link w:val="Nagwek8Znak"/>
    <w:rsid w:val="007C25FB"/>
    <w:pPr>
      <w:keepNext/>
      <w:keepLines/>
      <w:spacing w:before="200" w:after="0"/>
      <w:outlineLvl w:val="7"/>
    </w:pPr>
    <w:rPr>
      <w:rFonts w:ascii="Cambria" w:hAnsi="Cambria"/>
      <w:color w:val="404040"/>
      <w:sz w:val="20"/>
      <w:szCs w:val="20"/>
    </w:rPr>
  </w:style>
  <w:style w:type="paragraph" w:styleId="Nagwek9">
    <w:name w:val="heading 9"/>
    <w:basedOn w:val="Normalny"/>
    <w:link w:val="Nagwek9Znak"/>
    <w:rsid w:val="007C25FB"/>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5FB"/>
    <w:rPr>
      <w:rFonts w:ascii="Arial" w:eastAsia="Arial Unicode MS" w:hAnsi="Arial" w:cs="Mangal"/>
      <w:color w:val="00000A"/>
      <w:sz w:val="28"/>
      <w:szCs w:val="28"/>
      <w:lang w:eastAsia="pl-PL"/>
    </w:rPr>
  </w:style>
  <w:style w:type="character" w:customStyle="1" w:styleId="Nagwek2Znak">
    <w:name w:val="Nagłówek 2 Znak"/>
    <w:basedOn w:val="Domylnaczcionkaakapitu"/>
    <w:link w:val="Nagwek2"/>
    <w:rsid w:val="007C25FB"/>
    <w:rPr>
      <w:rFonts w:ascii="Arial" w:eastAsia="Arial Unicode MS" w:hAnsi="Arial" w:cs="Arial"/>
      <w:b/>
      <w:bCs/>
      <w:color w:val="00000A"/>
      <w:lang w:eastAsia="pl-PL"/>
    </w:rPr>
  </w:style>
  <w:style w:type="character" w:customStyle="1" w:styleId="Nagwek3Znak">
    <w:name w:val="Nagłówek 3 Znak"/>
    <w:basedOn w:val="Domylnaczcionkaakapitu"/>
    <w:link w:val="Nagwek3"/>
    <w:rsid w:val="007C25FB"/>
    <w:rPr>
      <w:rFonts w:ascii="Arial" w:eastAsia="Arial Unicode MS" w:hAnsi="Arial" w:cs="Mangal"/>
      <w:color w:val="00000A"/>
      <w:sz w:val="28"/>
      <w:szCs w:val="28"/>
      <w:lang w:eastAsia="pl-PL"/>
    </w:rPr>
  </w:style>
  <w:style w:type="character" w:customStyle="1" w:styleId="Nagwek4Znak">
    <w:name w:val="Nagłówek 4 Znak"/>
    <w:basedOn w:val="Domylnaczcionkaakapitu"/>
    <w:link w:val="Nagwek4"/>
    <w:qFormat/>
    <w:rsid w:val="007C25FB"/>
    <w:rPr>
      <w:rFonts w:ascii="Cambria" w:eastAsia="Segoe UI" w:hAnsi="Cambria" w:cs="Tahoma"/>
      <w:b/>
      <w:bCs/>
      <w:i/>
      <w:iCs/>
      <w:color w:val="4F81BD"/>
      <w:lang w:eastAsia="pl-PL"/>
    </w:rPr>
  </w:style>
  <w:style w:type="character" w:customStyle="1" w:styleId="Nagwek5Znak">
    <w:name w:val="Nagłówek 5 Znak"/>
    <w:basedOn w:val="Domylnaczcionkaakapitu"/>
    <w:link w:val="Nagwek5"/>
    <w:qFormat/>
    <w:rsid w:val="007C25FB"/>
    <w:rPr>
      <w:rFonts w:ascii="Cambria" w:eastAsia="Segoe UI" w:hAnsi="Cambria" w:cs="Tahoma"/>
      <w:color w:val="243F60"/>
      <w:lang w:eastAsia="pl-PL"/>
    </w:rPr>
  </w:style>
  <w:style w:type="character" w:customStyle="1" w:styleId="Nagwek6Znak">
    <w:name w:val="Nagłówek 6 Znak"/>
    <w:basedOn w:val="Domylnaczcionkaakapitu"/>
    <w:link w:val="Nagwek6"/>
    <w:qFormat/>
    <w:rsid w:val="007C25FB"/>
    <w:rPr>
      <w:rFonts w:ascii="Cambria" w:eastAsia="Segoe UI" w:hAnsi="Cambria" w:cs="Tahoma"/>
      <w:i/>
      <w:iCs/>
      <w:color w:val="243F60"/>
      <w:lang w:eastAsia="pl-PL"/>
    </w:rPr>
  </w:style>
  <w:style w:type="character" w:customStyle="1" w:styleId="Nagwek7Znak">
    <w:name w:val="Nagłówek 7 Znak"/>
    <w:basedOn w:val="Domylnaczcionkaakapitu"/>
    <w:link w:val="Nagwek7"/>
    <w:qFormat/>
    <w:rsid w:val="007C25FB"/>
    <w:rPr>
      <w:rFonts w:ascii="Cambria" w:eastAsia="Segoe UI" w:hAnsi="Cambria" w:cs="Tahoma"/>
      <w:i/>
      <w:iCs/>
      <w:color w:val="404040"/>
      <w:lang w:eastAsia="pl-PL"/>
    </w:rPr>
  </w:style>
  <w:style w:type="character" w:customStyle="1" w:styleId="Nagwek8Znak">
    <w:name w:val="Nagłówek 8 Znak"/>
    <w:basedOn w:val="Domylnaczcionkaakapitu"/>
    <w:link w:val="Nagwek8"/>
    <w:qFormat/>
    <w:rsid w:val="007C25FB"/>
    <w:rPr>
      <w:rFonts w:ascii="Cambria" w:eastAsia="Segoe UI" w:hAnsi="Cambria" w:cs="Tahoma"/>
      <w:color w:val="404040"/>
      <w:sz w:val="20"/>
      <w:szCs w:val="20"/>
      <w:lang w:eastAsia="pl-PL"/>
    </w:rPr>
  </w:style>
  <w:style w:type="character" w:customStyle="1" w:styleId="Nagwek9Znak">
    <w:name w:val="Nagłówek 9 Znak"/>
    <w:basedOn w:val="Domylnaczcionkaakapitu"/>
    <w:link w:val="Nagwek9"/>
    <w:qFormat/>
    <w:rsid w:val="007C25FB"/>
    <w:rPr>
      <w:rFonts w:ascii="Cambria" w:eastAsia="Segoe UI" w:hAnsi="Cambria" w:cs="Tahoma"/>
      <w:i/>
      <w:iCs/>
      <w:color w:val="404040"/>
      <w:sz w:val="20"/>
      <w:szCs w:val="20"/>
      <w:lang w:eastAsia="pl-PL"/>
    </w:rPr>
  </w:style>
  <w:style w:type="character" w:styleId="Numerstrony">
    <w:name w:val="page number"/>
    <w:basedOn w:val="Domylnaczcionkaakapitu"/>
    <w:qFormat/>
    <w:rsid w:val="007C25FB"/>
  </w:style>
  <w:style w:type="character" w:customStyle="1" w:styleId="czeinternetowe">
    <w:name w:val="Łącze internetowe"/>
    <w:basedOn w:val="Domylnaczcionkaakapitu"/>
    <w:rsid w:val="007C25FB"/>
    <w:rPr>
      <w:color w:val="0000FF"/>
      <w:u w:val="single"/>
    </w:rPr>
  </w:style>
  <w:style w:type="character" w:customStyle="1" w:styleId="TekstprzypisukocowegoZnak">
    <w:name w:val="Tekst przypisu końcowego Znak"/>
    <w:basedOn w:val="Domylnaczcionkaakapitu"/>
    <w:uiPriority w:val="99"/>
    <w:qFormat/>
    <w:rsid w:val="007C25FB"/>
  </w:style>
  <w:style w:type="character" w:styleId="Odwoanieprzypisukocowego">
    <w:name w:val="endnote reference"/>
    <w:basedOn w:val="Domylnaczcionkaakapitu"/>
    <w:qFormat/>
    <w:rsid w:val="007C25FB"/>
    <w:rPr>
      <w:vertAlign w:val="superscript"/>
    </w:rPr>
  </w:style>
  <w:style w:type="character" w:customStyle="1" w:styleId="NagwekZnak">
    <w:name w:val="Nagłówek Znak"/>
    <w:basedOn w:val="Domylnaczcionkaakapitu"/>
    <w:qFormat/>
    <w:rsid w:val="007C25FB"/>
    <w:rPr>
      <w:sz w:val="24"/>
      <w:szCs w:val="24"/>
    </w:rPr>
  </w:style>
  <w:style w:type="character" w:customStyle="1" w:styleId="ListLabel1">
    <w:name w:val="ListLabel 1"/>
    <w:qFormat/>
    <w:rsid w:val="007C25FB"/>
    <w:rPr>
      <w:color w:val="00000A"/>
    </w:rPr>
  </w:style>
  <w:style w:type="character" w:customStyle="1" w:styleId="ListLabel2">
    <w:name w:val="ListLabel 2"/>
    <w:qFormat/>
    <w:rsid w:val="007C25FB"/>
    <w:rPr>
      <w:rFonts w:cs="Courier New"/>
    </w:rPr>
  </w:style>
  <w:style w:type="character" w:customStyle="1" w:styleId="ListLabel3">
    <w:name w:val="ListLabel 3"/>
    <w:qFormat/>
    <w:rsid w:val="007C25FB"/>
    <w:rPr>
      <w:rFonts w:cs="Symbol"/>
      <w:color w:val="00000A"/>
    </w:rPr>
  </w:style>
  <w:style w:type="character" w:customStyle="1" w:styleId="ListLabel4">
    <w:name w:val="ListLabel 4"/>
    <w:qFormat/>
    <w:rsid w:val="007C25FB"/>
    <w:rPr>
      <w:rFonts w:cs="Courier New"/>
    </w:rPr>
  </w:style>
  <w:style w:type="character" w:customStyle="1" w:styleId="ListLabel5">
    <w:name w:val="ListLabel 5"/>
    <w:qFormat/>
    <w:rsid w:val="007C25FB"/>
    <w:rPr>
      <w:rFonts w:cs="Wingdings"/>
    </w:rPr>
  </w:style>
  <w:style w:type="character" w:customStyle="1" w:styleId="ListLabel6">
    <w:name w:val="ListLabel 6"/>
    <w:qFormat/>
    <w:rsid w:val="007C25FB"/>
    <w:rPr>
      <w:rFonts w:cs="Symbol"/>
    </w:rPr>
  </w:style>
  <w:style w:type="character" w:customStyle="1" w:styleId="ListLabel7">
    <w:name w:val="ListLabel 7"/>
    <w:qFormat/>
    <w:rsid w:val="007C25FB"/>
    <w:rPr>
      <w:rFonts w:cs="Symbol"/>
      <w:color w:val="00000A"/>
    </w:rPr>
  </w:style>
  <w:style w:type="character" w:customStyle="1" w:styleId="ListLabel8">
    <w:name w:val="ListLabel 8"/>
    <w:qFormat/>
    <w:rsid w:val="007C25FB"/>
    <w:rPr>
      <w:rFonts w:cs="Courier New"/>
    </w:rPr>
  </w:style>
  <w:style w:type="character" w:customStyle="1" w:styleId="ListLabel9">
    <w:name w:val="ListLabel 9"/>
    <w:qFormat/>
    <w:rsid w:val="007C25FB"/>
    <w:rPr>
      <w:rFonts w:cs="Wingdings"/>
    </w:rPr>
  </w:style>
  <w:style w:type="character" w:customStyle="1" w:styleId="ListLabel10">
    <w:name w:val="ListLabel 10"/>
    <w:qFormat/>
    <w:rsid w:val="007C25FB"/>
    <w:rPr>
      <w:rFonts w:cs="Symbol"/>
      <w:sz w:val="22"/>
      <w:szCs w:val="22"/>
    </w:rPr>
  </w:style>
  <w:style w:type="character" w:customStyle="1" w:styleId="ListLabel11">
    <w:name w:val="ListLabel 11"/>
    <w:qFormat/>
    <w:rsid w:val="007C25FB"/>
    <w:rPr>
      <w:rFonts w:cs="Symbol"/>
      <w:color w:val="00000A"/>
    </w:rPr>
  </w:style>
  <w:style w:type="character" w:customStyle="1" w:styleId="ListLabel12">
    <w:name w:val="ListLabel 12"/>
    <w:qFormat/>
    <w:rsid w:val="007C25FB"/>
    <w:rPr>
      <w:rFonts w:cs="Courier New"/>
    </w:rPr>
  </w:style>
  <w:style w:type="character" w:customStyle="1" w:styleId="ListLabel13">
    <w:name w:val="ListLabel 13"/>
    <w:qFormat/>
    <w:rsid w:val="007C25FB"/>
    <w:rPr>
      <w:rFonts w:cs="Wingdings"/>
    </w:rPr>
  </w:style>
  <w:style w:type="character" w:customStyle="1" w:styleId="ListLabel14">
    <w:name w:val="ListLabel 14"/>
    <w:qFormat/>
    <w:rsid w:val="007C25FB"/>
    <w:rPr>
      <w:rFonts w:cs="Symbol"/>
      <w:sz w:val="22"/>
      <w:szCs w:val="22"/>
    </w:rPr>
  </w:style>
  <w:style w:type="character" w:customStyle="1" w:styleId="ListLabel15">
    <w:name w:val="ListLabel 15"/>
    <w:qFormat/>
    <w:rsid w:val="007C25FB"/>
    <w:rPr>
      <w:rFonts w:cs="Symbol"/>
      <w:color w:val="00000A"/>
    </w:rPr>
  </w:style>
  <w:style w:type="character" w:customStyle="1" w:styleId="ListLabel16">
    <w:name w:val="ListLabel 16"/>
    <w:qFormat/>
    <w:rsid w:val="007C25FB"/>
    <w:rPr>
      <w:rFonts w:cs="Courier New"/>
    </w:rPr>
  </w:style>
  <w:style w:type="character" w:customStyle="1" w:styleId="ListLabel17">
    <w:name w:val="ListLabel 17"/>
    <w:qFormat/>
    <w:rsid w:val="007C25FB"/>
    <w:rPr>
      <w:rFonts w:cs="Wingdings"/>
    </w:rPr>
  </w:style>
  <w:style w:type="character" w:customStyle="1" w:styleId="ListLabel18">
    <w:name w:val="ListLabel 18"/>
    <w:qFormat/>
    <w:rsid w:val="007C25FB"/>
    <w:rPr>
      <w:rFonts w:cs="Symbol"/>
      <w:sz w:val="22"/>
      <w:szCs w:val="22"/>
    </w:rPr>
  </w:style>
  <w:style w:type="character" w:customStyle="1" w:styleId="ListLabel19">
    <w:name w:val="ListLabel 19"/>
    <w:qFormat/>
    <w:rsid w:val="007C25FB"/>
    <w:rPr>
      <w:rFonts w:cs="Symbol"/>
      <w:color w:val="00000A"/>
    </w:rPr>
  </w:style>
  <w:style w:type="character" w:customStyle="1" w:styleId="ListLabel20">
    <w:name w:val="ListLabel 20"/>
    <w:qFormat/>
    <w:rsid w:val="007C25FB"/>
    <w:rPr>
      <w:rFonts w:cs="Courier New"/>
    </w:rPr>
  </w:style>
  <w:style w:type="character" w:customStyle="1" w:styleId="ListLabel21">
    <w:name w:val="ListLabel 21"/>
    <w:qFormat/>
    <w:rsid w:val="007C25FB"/>
    <w:rPr>
      <w:rFonts w:cs="Wingdings"/>
    </w:rPr>
  </w:style>
  <w:style w:type="character" w:customStyle="1" w:styleId="ListLabel22">
    <w:name w:val="ListLabel 22"/>
    <w:qFormat/>
    <w:rsid w:val="007C25FB"/>
    <w:rPr>
      <w:rFonts w:cs="Symbol"/>
      <w:sz w:val="22"/>
      <w:szCs w:val="22"/>
    </w:rPr>
  </w:style>
  <w:style w:type="character" w:customStyle="1" w:styleId="ListLabel23">
    <w:name w:val="ListLabel 23"/>
    <w:qFormat/>
    <w:rsid w:val="007C25FB"/>
    <w:rPr>
      <w:rFonts w:cs="Symbol"/>
      <w:color w:val="00000A"/>
    </w:rPr>
  </w:style>
  <w:style w:type="character" w:customStyle="1" w:styleId="ListLabel24">
    <w:name w:val="ListLabel 24"/>
    <w:qFormat/>
    <w:rsid w:val="007C25FB"/>
    <w:rPr>
      <w:rFonts w:cs="Courier New"/>
    </w:rPr>
  </w:style>
  <w:style w:type="character" w:customStyle="1" w:styleId="ListLabel25">
    <w:name w:val="ListLabel 25"/>
    <w:qFormat/>
    <w:rsid w:val="007C25FB"/>
    <w:rPr>
      <w:rFonts w:cs="Wingdings"/>
    </w:rPr>
  </w:style>
  <w:style w:type="character" w:customStyle="1" w:styleId="ListLabel26">
    <w:name w:val="ListLabel 26"/>
    <w:qFormat/>
    <w:rsid w:val="007C25FB"/>
    <w:rPr>
      <w:rFonts w:cs="Symbol"/>
      <w:sz w:val="22"/>
      <w:szCs w:val="22"/>
    </w:rPr>
  </w:style>
  <w:style w:type="character" w:customStyle="1" w:styleId="ListLabel27">
    <w:name w:val="ListLabel 27"/>
    <w:qFormat/>
    <w:rsid w:val="007C25FB"/>
    <w:rPr>
      <w:rFonts w:cs="Symbol"/>
      <w:color w:val="00000A"/>
    </w:rPr>
  </w:style>
  <w:style w:type="character" w:customStyle="1" w:styleId="ListLabel28">
    <w:name w:val="ListLabel 28"/>
    <w:qFormat/>
    <w:rsid w:val="007C25FB"/>
    <w:rPr>
      <w:rFonts w:cs="Courier New"/>
    </w:rPr>
  </w:style>
  <w:style w:type="character" w:customStyle="1" w:styleId="ListLabel29">
    <w:name w:val="ListLabel 29"/>
    <w:qFormat/>
    <w:rsid w:val="007C25FB"/>
    <w:rPr>
      <w:rFonts w:cs="Wingdings"/>
    </w:rPr>
  </w:style>
  <w:style w:type="character" w:customStyle="1" w:styleId="ListLabel30">
    <w:name w:val="ListLabel 30"/>
    <w:qFormat/>
    <w:rsid w:val="007C25FB"/>
    <w:rPr>
      <w:rFonts w:cs="Symbol"/>
      <w:sz w:val="22"/>
      <w:szCs w:val="22"/>
    </w:rPr>
  </w:style>
  <w:style w:type="character" w:customStyle="1" w:styleId="ListLabel31">
    <w:name w:val="ListLabel 31"/>
    <w:qFormat/>
    <w:rsid w:val="007C25FB"/>
    <w:rPr>
      <w:rFonts w:cs="Symbol"/>
      <w:color w:val="00000A"/>
    </w:rPr>
  </w:style>
  <w:style w:type="character" w:customStyle="1" w:styleId="ListLabel32">
    <w:name w:val="ListLabel 32"/>
    <w:qFormat/>
    <w:rsid w:val="007C25FB"/>
    <w:rPr>
      <w:rFonts w:cs="Courier New"/>
    </w:rPr>
  </w:style>
  <w:style w:type="character" w:customStyle="1" w:styleId="ListLabel33">
    <w:name w:val="ListLabel 33"/>
    <w:qFormat/>
    <w:rsid w:val="007C25FB"/>
    <w:rPr>
      <w:rFonts w:cs="Wingdings"/>
    </w:rPr>
  </w:style>
  <w:style w:type="character" w:customStyle="1" w:styleId="ListLabel34">
    <w:name w:val="ListLabel 34"/>
    <w:qFormat/>
    <w:rsid w:val="007C25FB"/>
    <w:rPr>
      <w:rFonts w:cs="Symbol"/>
      <w:sz w:val="22"/>
      <w:szCs w:val="22"/>
    </w:rPr>
  </w:style>
  <w:style w:type="character" w:customStyle="1" w:styleId="ListLabel35">
    <w:name w:val="ListLabel 35"/>
    <w:qFormat/>
    <w:rsid w:val="007C25FB"/>
    <w:rPr>
      <w:rFonts w:cs="Symbol"/>
      <w:color w:val="00000A"/>
    </w:rPr>
  </w:style>
  <w:style w:type="character" w:customStyle="1" w:styleId="ListLabel36">
    <w:name w:val="ListLabel 36"/>
    <w:qFormat/>
    <w:rsid w:val="007C25FB"/>
    <w:rPr>
      <w:rFonts w:cs="Courier New"/>
    </w:rPr>
  </w:style>
  <w:style w:type="character" w:customStyle="1" w:styleId="ListLabel37">
    <w:name w:val="ListLabel 37"/>
    <w:qFormat/>
    <w:rsid w:val="007C25FB"/>
    <w:rPr>
      <w:rFonts w:cs="Wingdings"/>
    </w:rPr>
  </w:style>
  <w:style w:type="character" w:customStyle="1" w:styleId="ListLabel38">
    <w:name w:val="ListLabel 38"/>
    <w:qFormat/>
    <w:rsid w:val="007C25FB"/>
    <w:rPr>
      <w:rFonts w:cs="Symbol"/>
      <w:sz w:val="22"/>
      <w:szCs w:val="22"/>
    </w:rPr>
  </w:style>
  <w:style w:type="character" w:customStyle="1" w:styleId="ListLabel39">
    <w:name w:val="ListLabel 39"/>
    <w:qFormat/>
    <w:rsid w:val="007C25FB"/>
    <w:rPr>
      <w:rFonts w:cs="Symbol"/>
      <w:color w:val="00000A"/>
    </w:rPr>
  </w:style>
  <w:style w:type="character" w:customStyle="1" w:styleId="ListLabel40">
    <w:name w:val="ListLabel 40"/>
    <w:qFormat/>
    <w:rsid w:val="007C25FB"/>
    <w:rPr>
      <w:rFonts w:cs="Courier New"/>
    </w:rPr>
  </w:style>
  <w:style w:type="character" w:customStyle="1" w:styleId="ListLabel41">
    <w:name w:val="ListLabel 41"/>
    <w:qFormat/>
    <w:rsid w:val="007C25FB"/>
    <w:rPr>
      <w:rFonts w:cs="Wingdings"/>
    </w:rPr>
  </w:style>
  <w:style w:type="character" w:customStyle="1" w:styleId="ListLabel42">
    <w:name w:val="ListLabel 42"/>
    <w:qFormat/>
    <w:rsid w:val="007C25FB"/>
    <w:rPr>
      <w:rFonts w:cs="Symbol"/>
      <w:sz w:val="22"/>
      <w:szCs w:val="22"/>
    </w:rPr>
  </w:style>
  <w:style w:type="character" w:customStyle="1" w:styleId="ListLabel43">
    <w:name w:val="ListLabel 43"/>
    <w:qFormat/>
    <w:rsid w:val="007C25FB"/>
    <w:rPr>
      <w:rFonts w:cs="Symbol"/>
      <w:color w:val="00000A"/>
      <w:sz w:val="22"/>
      <w:szCs w:val="22"/>
    </w:rPr>
  </w:style>
  <w:style w:type="character" w:customStyle="1" w:styleId="style102">
    <w:name w:val="style102"/>
    <w:basedOn w:val="Domylnaczcionkaakapitu"/>
    <w:qFormat/>
    <w:rsid w:val="007C25FB"/>
  </w:style>
  <w:style w:type="character" w:customStyle="1" w:styleId="ListLabel44">
    <w:name w:val="ListLabel 44"/>
    <w:qFormat/>
    <w:rsid w:val="007C25FB"/>
    <w:rPr>
      <w:rFonts w:cs="Symbol"/>
      <w:color w:val="00000A"/>
    </w:rPr>
  </w:style>
  <w:style w:type="character" w:customStyle="1" w:styleId="ListLabel45">
    <w:name w:val="ListLabel 45"/>
    <w:qFormat/>
    <w:rsid w:val="007C25FB"/>
    <w:rPr>
      <w:rFonts w:cs="Courier New"/>
    </w:rPr>
  </w:style>
  <w:style w:type="character" w:customStyle="1" w:styleId="ListLabel46">
    <w:name w:val="ListLabel 46"/>
    <w:qFormat/>
    <w:rsid w:val="007C25FB"/>
    <w:rPr>
      <w:rFonts w:cs="Wingdings"/>
    </w:rPr>
  </w:style>
  <w:style w:type="character" w:customStyle="1" w:styleId="ListLabel47">
    <w:name w:val="ListLabel 47"/>
    <w:qFormat/>
    <w:rsid w:val="007C25FB"/>
    <w:rPr>
      <w:rFonts w:cs="Symbol"/>
      <w:sz w:val="22"/>
      <w:szCs w:val="22"/>
    </w:rPr>
  </w:style>
  <w:style w:type="character" w:customStyle="1" w:styleId="ListLabel48">
    <w:name w:val="ListLabel 48"/>
    <w:qFormat/>
    <w:rsid w:val="007C25FB"/>
    <w:rPr>
      <w:rFonts w:cs="Symbol"/>
      <w:color w:val="00000A"/>
      <w:sz w:val="22"/>
      <w:szCs w:val="22"/>
    </w:rPr>
  </w:style>
  <w:style w:type="character" w:customStyle="1" w:styleId="ListLabel49">
    <w:name w:val="ListLabel 49"/>
    <w:qFormat/>
    <w:rsid w:val="007C25FB"/>
    <w:rPr>
      <w:rFonts w:cs="Symbol"/>
    </w:rPr>
  </w:style>
  <w:style w:type="character" w:customStyle="1" w:styleId="ListLabel50">
    <w:name w:val="ListLabel 50"/>
    <w:qFormat/>
    <w:rsid w:val="007C25FB"/>
    <w:rPr>
      <w:sz w:val="22"/>
      <w:szCs w:val="22"/>
    </w:rPr>
  </w:style>
  <w:style w:type="character" w:customStyle="1" w:styleId="ListLabel51">
    <w:name w:val="ListLabel 51"/>
    <w:qFormat/>
    <w:rsid w:val="007C25FB"/>
    <w:rPr>
      <w:rFonts w:cs="Symbol"/>
      <w:color w:val="00000A"/>
    </w:rPr>
  </w:style>
  <w:style w:type="character" w:customStyle="1" w:styleId="ListLabel52">
    <w:name w:val="ListLabel 52"/>
    <w:qFormat/>
    <w:rsid w:val="007C25FB"/>
    <w:rPr>
      <w:rFonts w:cs="Courier New"/>
    </w:rPr>
  </w:style>
  <w:style w:type="character" w:customStyle="1" w:styleId="ListLabel53">
    <w:name w:val="ListLabel 53"/>
    <w:qFormat/>
    <w:rsid w:val="007C25FB"/>
    <w:rPr>
      <w:rFonts w:cs="Wingdings"/>
    </w:rPr>
  </w:style>
  <w:style w:type="character" w:customStyle="1" w:styleId="ListLabel54">
    <w:name w:val="ListLabel 54"/>
    <w:qFormat/>
    <w:rsid w:val="007C25FB"/>
    <w:rPr>
      <w:rFonts w:cs="Symbol"/>
      <w:sz w:val="22"/>
      <w:szCs w:val="22"/>
    </w:rPr>
  </w:style>
  <w:style w:type="character" w:customStyle="1" w:styleId="ListLabel55">
    <w:name w:val="ListLabel 55"/>
    <w:qFormat/>
    <w:rsid w:val="007C25FB"/>
    <w:rPr>
      <w:rFonts w:cs="Symbol"/>
      <w:color w:val="00000A"/>
      <w:sz w:val="22"/>
      <w:szCs w:val="22"/>
    </w:rPr>
  </w:style>
  <w:style w:type="character" w:customStyle="1" w:styleId="ListLabel56">
    <w:name w:val="ListLabel 56"/>
    <w:qFormat/>
    <w:rsid w:val="007C25FB"/>
    <w:rPr>
      <w:rFonts w:cs="Symbol"/>
    </w:rPr>
  </w:style>
  <w:style w:type="character" w:customStyle="1" w:styleId="Symbolewypunktowania">
    <w:name w:val="Symbole wypunktowania"/>
    <w:qFormat/>
    <w:rsid w:val="007C25FB"/>
    <w:rPr>
      <w:rFonts w:ascii="OpenSymbol" w:eastAsia="OpenSymbol" w:hAnsi="OpenSymbol" w:cs="OpenSymbol"/>
    </w:rPr>
  </w:style>
  <w:style w:type="character" w:customStyle="1" w:styleId="WW8Num14z0">
    <w:name w:val="WW8Num14z0"/>
    <w:qFormat/>
    <w:rsid w:val="007C25FB"/>
    <w:rPr>
      <w:rFonts w:ascii="Symbol" w:hAnsi="Symbol" w:cs="Symbol"/>
    </w:rPr>
  </w:style>
  <w:style w:type="character" w:customStyle="1" w:styleId="WW8Num14z1">
    <w:name w:val="WW8Num14z1"/>
    <w:qFormat/>
    <w:rsid w:val="007C25FB"/>
    <w:rPr>
      <w:rFonts w:ascii="Courier New" w:hAnsi="Courier New" w:cs="Courier New"/>
    </w:rPr>
  </w:style>
  <w:style w:type="character" w:customStyle="1" w:styleId="WW8Num14z2">
    <w:name w:val="WW8Num14z2"/>
    <w:qFormat/>
    <w:rsid w:val="007C25FB"/>
    <w:rPr>
      <w:rFonts w:ascii="Wingdings" w:hAnsi="Wingdings" w:cs="Wingdings"/>
    </w:rPr>
  </w:style>
  <w:style w:type="character" w:customStyle="1" w:styleId="WW8Num14z3">
    <w:name w:val="WW8Num14z3"/>
    <w:qFormat/>
    <w:rsid w:val="007C25FB"/>
    <w:rPr>
      <w:rFonts w:ascii="Symbol" w:hAnsi="Symbol" w:cs="Symbol"/>
      <w:sz w:val="22"/>
      <w:szCs w:val="22"/>
    </w:rPr>
  </w:style>
  <w:style w:type="character" w:customStyle="1" w:styleId="ListLabel57">
    <w:name w:val="ListLabel 57"/>
    <w:qFormat/>
    <w:rsid w:val="007C25FB"/>
    <w:rPr>
      <w:rFonts w:cs="Symbol"/>
      <w:color w:val="00000A"/>
    </w:rPr>
  </w:style>
  <w:style w:type="character" w:customStyle="1" w:styleId="ListLabel58">
    <w:name w:val="ListLabel 58"/>
    <w:qFormat/>
    <w:rsid w:val="007C25FB"/>
    <w:rPr>
      <w:rFonts w:cs="Courier New"/>
    </w:rPr>
  </w:style>
  <w:style w:type="character" w:customStyle="1" w:styleId="ListLabel59">
    <w:name w:val="ListLabel 59"/>
    <w:qFormat/>
    <w:rsid w:val="007C25FB"/>
    <w:rPr>
      <w:rFonts w:cs="Wingdings"/>
    </w:rPr>
  </w:style>
  <w:style w:type="character" w:customStyle="1" w:styleId="ListLabel60">
    <w:name w:val="ListLabel 60"/>
    <w:qFormat/>
    <w:rsid w:val="007C25FB"/>
    <w:rPr>
      <w:rFonts w:cs="Symbol"/>
      <w:sz w:val="22"/>
      <w:szCs w:val="22"/>
    </w:rPr>
  </w:style>
  <w:style w:type="character" w:customStyle="1" w:styleId="ListLabel61">
    <w:name w:val="ListLabel 61"/>
    <w:qFormat/>
    <w:rsid w:val="007C25FB"/>
    <w:rPr>
      <w:rFonts w:cs="Symbol"/>
      <w:color w:val="00000A"/>
      <w:sz w:val="22"/>
      <w:szCs w:val="22"/>
    </w:rPr>
  </w:style>
  <w:style w:type="character" w:customStyle="1" w:styleId="ListLabel62">
    <w:name w:val="ListLabel 62"/>
    <w:qFormat/>
    <w:rsid w:val="007C25FB"/>
    <w:rPr>
      <w:rFonts w:cs="Symbol"/>
    </w:rPr>
  </w:style>
  <w:style w:type="character" w:customStyle="1" w:styleId="ListLabel63">
    <w:name w:val="ListLabel 63"/>
    <w:qFormat/>
    <w:rsid w:val="007C25FB"/>
    <w:rPr>
      <w:rFonts w:cs="OpenSymbol"/>
    </w:rPr>
  </w:style>
  <w:style w:type="character" w:customStyle="1" w:styleId="ListLabel64">
    <w:name w:val="ListLabel 64"/>
    <w:qFormat/>
    <w:rsid w:val="007C25FB"/>
    <w:rPr>
      <w:rFonts w:cs="Symbol"/>
      <w:color w:val="00000A"/>
    </w:rPr>
  </w:style>
  <w:style w:type="character" w:customStyle="1" w:styleId="ListLabel65">
    <w:name w:val="ListLabel 65"/>
    <w:qFormat/>
    <w:rsid w:val="007C25FB"/>
    <w:rPr>
      <w:rFonts w:cs="Courier New"/>
    </w:rPr>
  </w:style>
  <w:style w:type="character" w:customStyle="1" w:styleId="ListLabel66">
    <w:name w:val="ListLabel 66"/>
    <w:qFormat/>
    <w:rsid w:val="007C25FB"/>
    <w:rPr>
      <w:rFonts w:cs="Wingdings"/>
    </w:rPr>
  </w:style>
  <w:style w:type="character" w:customStyle="1" w:styleId="ListLabel67">
    <w:name w:val="ListLabel 67"/>
    <w:qFormat/>
    <w:rsid w:val="007C25FB"/>
    <w:rPr>
      <w:rFonts w:cs="Symbol"/>
      <w:sz w:val="22"/>
      <w:szCs w:val="22"/>
    </w:rPr>
  </w:style>
  <w:style w:type="character" w:customStyle="1" w:styleId="ListLabel68">
    <w:name w:val="ListLabel 68"/>
    <w:qFormat/>
    <w:rsid w:val="007C25FB"/>
    <w:rPr>
      <w:rFonts w:cs="Symbol"/>
      <w:color w:val="00000A"/>
      <w:sz w:val="22"/>
      <w:szCs w:val="22"/>
    </w:rPr>
  </w:style>
  <w:style w:type="character" w:customStyle="1" w:styleId="ListLabel69">
    <w:name w:val="ListLabel 69"/>
    <w:qFormat/>
    <w:rsid w:val="007C25FB"/>
    <w:rPr>
      <w:rFonts w:cs="Symbol"/>
    </w:rPr>
  </w:style>
  <w:style w:type="character" w:customStyle="1" w:styleId="ListLabel70">
    <w:name w:val="ListLabel 70"/>
    <w:qFormat/>
    <w:rsid w:val="007C25FB"/>
    <w:rPr>
      <w:rFonts w:cs="OpenSymbol"/>
    </w:rPr>
  </w:style>
  <w:style w:type="character" w:customStyle="1" w:styleId="ListLabel71">
    <w:name w:val="ListLabel 71"/>
    <w:qFormat/>
    <w:rsid w:val="007C25FB"/>
    <w:rPr>
      <w:rFonts w:cs="Symbol"/>
      <w:color w:val="00000A"/>
    </w:rPr>
  </w:style>
  <w:style w:type="character" w:customStyle="1" w:styleId="ListLabel72">
    <w:name w:val="ListLabel 72"/>
    <w:qFormat/>
    <w:rsid w:val="007C25FB"/>
    <w:rPr>
      <w:rFonts w:cs="Courier New"/>
    </w:rPr>
  </w:style>
  <w:style w:type="character" w:customStyle="1" w:styleId="ListLabel73">
    <w:name w:val="ListLabel 73"/>
    <w:qFormat/>
    <w:rsid w:val="007C25FB"/>
    <w:rPr>
      <w:rFonts w:cs="Wingdings"/>
    </w:rPr>
  </w:style>
  <w:style w:type="character" w:customStyle="1" w:styleId="ListLabel74">
    <w:name w:val="ListLabel 74"/>
    <w:qFormat/>
    <w:rsid w:val="007C25FB"/>
    <w:rPr>
      <w:rFonts w:cs="Symbol"/>
      <w:sz w:val="22"/>
      <w:szCs w:val="22"/>
    </w:rPr>
  </w:style>
  <w:style w:type="character" w:customStyle="1" w:styleId="ListLabel75">
    <w:name w:val="ListLabel 75"/>
    <w:qFormat/>
    <w:rsid w:val="007C25FB"/>
    <w:rPr>
      <w:rFonts w:cs="Symbol"/>
      <w:color w:val="00000A"/>
      <w:sz w:val="22"/>
      <w:szCs w:val="22"/>
    </w:rPr>
  </w:style>
  <w:style w:type="character" w:customStyle="1" w:styleId="ListLabel76">
    <w:name w:val="ListLabel 76"/>
    <w:qFormat/>
    <w:rsid w:val="007C25FB"/>
    <w:rPr>
      <w:rFonts w:cs="Symbol"/>
      <w:sz w:val="22"/>
      <w:szCs w:val="22"/>
    </w:rPr>
  </w:style>
  <w:style w:type="character" w:customStyle="1" w:styleId="ListLabel77">
    <w:name w:val="ListLabel 77"/>
    <w:qFormat/>
    <w:rsid w:val="007C25FB"/>
    <w:rPr>
      <w:rFonts w:cs="OpenSymbol"/>
    </w:rPr>
  </w:style>
  <w:style w:type="character" w:customStyle="1" w:styleId="ListLabel78">
    <w:name w:val="ListLabel 78"/>
    <w:qFormat/>
    <w:rsid w:val="007C25FB"/>
    <w:rPr>
      <w:rFonts w:cs="Symbol"/>
      <w:color w:val="00000A"/>
    </w:rPr>
  </w:style>
  <w:style w:type="character" w:customStyle="1" w:styleId="ListLabel79">
    <w:name w:val="ListLabel 79"/>
    <w:qFormat/>
    <w:rsid w:val="007C25FB"/>
    <w:rPr>
      <w:rFonts w:cs="Courier New"/>
    </w:rPr>
  </w:style>
  <w:style w:type="character" w:customStyle="1" w:styleId="ListLabel80">
    <w:name w:val="ListLabel 80"/>
    <w:qFormat/>
    <w:rsid w:val="007C25FB"/>
    <w:rPr>
      <w:rFonts w:cs="Wingdings"/>
    </w:rPr>
  </w:style>
  <w:style w:type="character" w:customStyle="1" w:styleId="ListLabel81">
    <w:name w:val="ListLabel 81"/>
    <w:qFormat/>
    <w:rsid w:val="007C25FB"/>
    <w:rPr>
      <w:rFonts w:cs="Symbol"/>
      <w:sz w:val="22"/>
      <w:szCs w:val="22"/>
    </w:rPr>
  </w:style>
  <w:style w:type="character" w:customStyle="1" w:styleId="ListLabel82">
    <w:name w:val="ListLabel 82"/>
    <w:qFormat/>
    <w:rsid w:val="007C25FB"/>
    <w:rPr>
      <w:rFonts w:cs="Symbol"/>
      <w:color w:val="00000A"/>
      <w:sz w:val="22"/>
      <w:szCs w:val="22"/>
    </w:rPr>
  </w:style>
  <w:style w:type="character" w:customStyle="1" w:styleId="ListLabel83">
    <w:name w:val="ListLabel 83"/>
    <w:qFormat/>
    <w:rsid w:val="007C25FB"/>
    <w:rPr>
      <w:rFonts w:cs="OpenSymbol"/>
    </w:rPr>
  </w:style>
  <w:style w:type="character" w:customStyle="1" w:styleId="ListLabel84">
    <w:name w:val="ListLabel 84"/>
    <w:qFormat/>
    <w:rsid w:val="007C25FB"/>
    <w:rPr>
      <w:rFonts w:cs="Symbol"/>
      <w:color w:val="00000A"/>
    </w:rPr>
  </w:style>
  <w:style w:type="character" w:customStyle="1" w:styleId="ListLabel85">
    <w:name w:val="ListLabel 85"/>
    <w:qFormat/>
    <w:rsid w:val="007C25FB"/>
    <w:rPr>
      <w:rFonts w:cs="Courier New"/>
    </w:rPr>
  </w:style>
  <w:style w:type="character" w:customStyle="1" w:styleId="ListLabel86">
    <w:name w:val="ListLabel 86"/>
    <w:qFormat/>
    <w:rsid w:val="007C25FB"/>
    <w:rPr>
      <w:rFonts w:cs="Wingdings"/>
    </w:rPr>
  </w:style>
  <w:style w:type="character" w:customStyle="1" w:styleId="ListLabel87">
    <w:name w:val="ListLabel 87"/>
    <w:qFormat/>
    <w:rsid w:val="007C25FB"/>
    <w:rPr>
      <w:rFonts w:cs="Symbol"/>
      <w:sz w:val="22"/>
      <w:szCs w:val="22"/>
    </w:rPr>
  </w:style>
  <w:style w:type="character" w:customStyle="1" w:styleId="ListLabel88">
    <w:name w:val="ListLabel 88"/>
    <w:qFormat/>
    <w:rsid w:val="007C25FB"/>
    <w:rPr>
      <w:rFonts w:cs="Symbol"/>
      <w:color w:val="00000A"/>
      <w:sz w:val="22"/>
      <w:szCs w:val="22"/>
    </w:rPr>
  </w:style>
  <w:style w:type="character" w:customStyle="1" w:styleId="ListLabel89">
    <w:name w:val="ListLabel 89"/>
    <w:qFormat/>
    <w:rsid w:val="007C25FB"/>
    <w:rPr>
      <w:rFonts w:cs="OpenSymbol"/>
    </w:rPr>
  </w:style>
  <w:style w:type="character" w:customStyle="1" w:styleId="ListLabel90">
    <w:name w:val="ListLabel 90"/>
    <w:qFormat/>
    <w:rsid w:val="007C25FB"/>
    <w:rPr>
      <w:rFonts w:cs="Symbol"/>
      <w:color w:val="00000A"/>
    </w:rPr>
  </w:style>
  <w:style w:type="character" w:customStyle="1" w:styleId="ListLabel91">
    <w:name w:val="ListLabel 91"/>
    <w:qFormat/>
    <w:rsid w:val="007C25FB"/>
    <w:rPr>
      <w:rFonts w:cs="Courier New"/>
    </w:rPr>
  </w:style>
  <w:style w:type="character" w:customStyle="1" w:styleId="ListLabel92">
    <w:name w:val="ListLabel 92"/>
    <w:qFormat/>
    <w:rsid w:val="007C25FB"/>
    <w:rPr>
      <w:rFonts w:cs="Wingdings"/>
    </w:rPr>
  </w:style>
  <w:style w:type="character" w:customStyle="1" w:styleId="ListLabel93">
    <w:name w:val="ListLabel 93"/>
    <w:qFormat/>
    <w:rsid w:val="007C25FB"/>
    <w:rPr>
      <w:rFonts w:cs="Symbol"/>
      <w:sz w:val="22"/>
      <w:szCs w:val="22"/>
    </w:rPr>
  </w:style>
  <w:style w:type="character" w:customStyle="1" w:styleId="ListLabel94">
    <w:name w:val="ListLabel 94"/>
    <w:qFormat/>
    <w:rsid w:val="007C25FB"/>
    <w:rPr>
      <w:rFonts w:cs="Symbol"/>
      <w:color w:val="00000A"/>
      <w:sz w:val="22"/>
      <w:szCs w:val="22"/>
    </w:rPr>
  </w:style>
  <w:style w:type="character" w:customStyle="1" w:styleId="ListLabel95">
    <w:name w:val="ListLabel 95"/>
    <w:qFormat/>
    <w:rsid w:val="007C25FB"/>
    <w:rPr>
      <w:rFonts w:cs="OpenSymbol"/>
    </w:rPr>
  </w:style>
  <w:style w:type="character" w:customStyle="1" w:styleId="ListLabel96">
    <w:name w:val="ListLabel 96"/>
    <w:qFormat/>
    <w:rsid w:val="007C25FB"/>
    <w:rPr>
      <w:rFonts w:cs="Symbol"/>
      <w:color w:val="00000A"/>
    </w:rPr>
  </w:style>
  <w:style w:type="character" w:customStyle="1" w:styleId="ListLabel97">
    <w:name w:val="ListLabel 97"/>
    <w:qFormat/>
    <w:rsid w:val="007C25FB"/>
    <w:rPr>
      <w:rFonts w:cs="Courier New"/>
    </w:rPr>
  </w:style>
  <w:style w:type="character" w:customStyle="1" w:styleId="ListLabel98">
    <w:name w:val="ListLabel 98"/>
    <w:qFormat/>
    <w:rsid w:val="007C25FB"/>
    <w:rPr>
      <w:rFonts w:cs="Wingdings"/>
    </w:rPr>
  </w:style>
  <w:style w:type="character" w:customStyle="1" w:styleId="ListLabel99">
    <w:name w:val="ListLabel 99"/>
    <w:qFormat/>
    <w:rsid w:val="007C25FB"/>
    <w:rPr>
      <w:rFonts w:cs="Symbol"/>
      <w:sz w:val="22"/>
      <w:szCs w:val="22"/>
    </w:rPr>
  </w:style>
  <w:style w:type="character" w:customStyle="1" w:styleId="ListLabel100">
    <w:name w:val="ListLabel 100"/>
    <w:qFormat/>
    <w:rsid w:val="007C25FB"/>
    <w:rPr>
      <w:rFonts w:cs="Symbol"/>
      <w:color w:val="00000A"/>
      <w:sz w:val="22"/>
      <w:szCs w:val="22"/>
    </w:rPr>
  </w:style>
  <w:style w:type="character" w:customStyle="1" w:styleId="ListLabel101">
    <w:name w:val="ListLabel 101"/>
    <w:qFormat/>
    <w:rsid w:val="007C25FB"/>
    <w:rPr>
      <w:rFonts w:cs="OpenSymbol"/>
    </w:rPr>
  </w:style>
  <w:style w:type="character" w:customStyle="1" w:styleId="ListLabel102">
    <w:name w:val="ListLabel 102"/>
    <w:qFormat/>
    <w:rsid w:val="007C25FB"/>
    <w:rPr>
      <w:rFonts w:cs="Symbol"/>
      <w:color w:val="00000A"/>
    </w:rPr>
  </w:style>
  <w:style w:type="character" w:customStyle="1" w:styleId="ListLabel103">
    <w:name w:val="ListLabel 103"/>
    <w:qFormat/>
    <w:rsid w:val="007C25FB"/>
    <w:rPr>
      <w:rFonts w:cs="Courier New"/>
    </w:rPr>
  </w:style>
  <w:style w:type="character" w:customStyle="1" w:styleId="ListLabel104">
    <w:name w:val="ListLabel 104"/>
    <w:qFormat/>
    <w:rsid w:val="007C25FB"/>
    <w:rPr>
      <w:rFonts w:cs="Wingdings"/>
    </w:rPr>
  </w:style>
  <w:style w:type="character" w:customStyle="1" w:styleId="ListLabel105">
    <w:name w:val="ListLabel 105"/>
    <w:qFormat/>
    <w:rsid w:val="007C25FB"/>
    <w:rPr>
      <w:rFonts w:cs="Symbol"/>
      <w:sz w:val="22"/>
      <w:szCs w:val="22"/>
    </w:rPr>
  </w:style>
  <w:style w:type="character" w:customStyle="1" w:styleId="ListLabel106">
    <w:name w:val="ListLabel 106"/>
    <w:qFormat/>
    <w:rsid w:val="007C25FB"/>
    <w:rPr>
      <w:rFonts w:cs="Symbol"/>
      <w:color w:val="00000A"/>
      <w:sz w:val="22"/>
      <w:szCs w:val="22"/>
    </w:rPr>
  </w:style>
  <w:style w:type="character" w:customStyle="1" w:styleId="ListLabel107">
    <w:name w:val="ListLabel 107"/>
    <w:qFormat/>
    <w:rsid w:val="007C25FB"/>
    <w:rPr>
      <w:rFonts w:cs="OpenSymbol"/>
    </w:rPr>
  </w:style>
  <w:style w:type="character" w:customStyle="1" w:styleId="ListLabel108">
    <w:name w:val="ListLabel 108"/>
    <w:qFormat/>
    <w:rsid w:val="007C25FB"/>
    <w:rPr>
      <w:rFonts w:cs="Symbol"/>
      <w:color w:val="00000A"/>
    </w:rPr>
  </w:style>
  <w:style w:type="character" w:customStyle="1" w:styleId="ListLabel109">
    <w:name w:val="ListLabel 109"/>
    <w:qFormat/>
    <w:rsid w:val="007C25FB"/>
    <w:rPr>
      <w:rFonts w:cs="Courier New"/>
    </w:rPr>
  </w:style>
  <w:style w:type="character" w:customStyle="1" w:styleId="ListLabel110">
    <w:name w:val="ListLabel 110"/>
    <w:qFormat/>
    <w:rsid w:val="007C25FB"/>
    <w:rPr>
      <w:rFonts w:cs="Wingdings"/>
    </w:rPr>
  </w:style>
  <w:style w:type="character" w:customStyle="1" w:styleId="ListLabel111">
    <w:name w:val="ListLabel 111"/>
    <w:qFormat/>
    <w:rsid w:val="007C25FB"/>
    <w:rPr>
      <w:rFonts w:cs="Symbol"/>
      <w:sz w:val="22"/>
      <w:szCs w:val="22"/>
    </w:rPr>
  </w:style>
  <w:style w:type="character" w:customStyle="1" w:styleId="ListLabel112">
    <w:name w:val="ListLabel 112"/>
    <w:qFormat/>
    <w:rsid w:val="007C25FB"/>
    <w:rPr>
      <w:rFonts w:cs="Symbol"/>
    </w:rPr>
  </w:style>
  <w:style w:type="character" w:customStyle="1" w:styleId="ListLabel113">
    <w:name w:val="ListLabel 113"/>
    <w:qFormat/>
    <w:rsid w:val="007C25FB"/>
    <w:rPr>
      <w:rFonts w:cs="OpenSymbol"/>
    </w:rPr>
  </w:style>
  <w:style w:type="character" w:customStyle="1" w:styleId="ListLabel114">
    <w:name w:val="ListLabel 114"/>
    <w:qFormat/>
    <w:rsid w:val="007C25FB"/>
    <w:rPr>
      <w:rFonts w:cs="Symbol"/>
      <w:color w:val="00000A"/>
    </w:rPr>
  </w:style>
  <w:style w:type="character" w:customStyle="1" w:styleId="ListLabel115">
    <w:name w:val="ListLabel 115"/>
    <w:qFormat/>
    <w:rsid w:val="007C25FB"/>
    <w:rPr>
      <w:rFonts w:cs="Courier New"/>
    </w:rPr>
  </w:style>
  <w:style w:type="character" w:customStyle="1" w:styleId="ListLabel116">
    <w:name w:val="ListLabel 116"/>
    <w:qFormat/>
    <w:rsid w:val="007C25FB"/>
    <w:rPr>
      <w:rFonts w:cs="Wingdings"/>
    </w:rPr>
  </w:style>
  <w:style w:type="character" w:customStyle="1" w:styleId="ListLabel117">
    <w:name w:val="ListLabel 117"/>
    <w:qFormat/>
    <w:rsid w:val="007C25FB"/>
    <w:rPr>
      <w:rFonts w:cs="Symbol"/>
      <w:sz w:val="22"/>
      <w:szCs w:val="22"/>
    </w:rPr>
  </w:style>
  <w:style w:type="character" w:customStyle="1" w:styleId="ListLabel118">
    <w:name w:val="ListLabel 118"/>
    <w:qFormat/>
    <w:rsid w:val="007C25FB"/>
    <w:rPr>
      <w:rFonts w:cs="Symbol"/>
    </w:rPr>
  </w:style>
  <w:style w:type="character" w:customStyle="1" w:styleId="ListLabel119">
    <w:name w:val="ListLabel 119"/>
    <w:qFormat/>
    <w:rsid w:val="007C25FB"/>
    <w:rPr>
      <w:rFonts w:cs="OpenSymbol"/>
    </w:rPr>
  </w:style>
  <w:style w:type="character" w:customStyle="1" w:styleId="ListLabel120">
    <w:name w:val="ListLabel 120"/>
    <w:qFormat/>
    <w:rsid w:val="007C25FB"/>
    <w:rPr>
      <w:rFonts w:cs="Symbol"/>
      <w:color w:val="00000A"/>
    </w:rPr>
  </w:style>
  <w:style w:type="character" w:customStyle="1" w:styleId="ListLabel121">
    <w:name w:val="ListLabel 121"/>
    <w:qFormat/>
    <w:rsid w:val="007C25FB"/>
    <w:rPr>
      <w:rFonts w:cs="Courier New"/>
    </w:rPr>
  </w:style>
  <w:style w:type="character" w:customStyle="1" w:styleId="ListLabel122">
    <w:name w:val="ListLabel 122"/>
    <w:qFormat/>
    <w:rsid w:val="007C25FB"/>
    <w:rPr>
      <w:rFonts w:cs="Wingdings"/>
    </w:rPr>
  </w:style>
  <w:style w:type="character" w:customStyle="1" w:styleId="ListLabel123">
    <w:name w:val="ListLabel 123"/>
    <w:qFormat/>
    <w:rsid w:val="007C25FB"/>
    <w:rPr>
      <w:rFonts w:cs="Symbol"/>
      <w:sz w:val="22"/>
      <w:szCs w:val="22"/>
    </w:rPr>
  </w:style>
  <w:style w:type="character" w:customStyle="1" w:styleId="ListLabel124">
    <w:name w:val="ListLabel 124"/>
    <w:qFormat/>
    <w:rsid w:val="007C25FB"/>
    <w:rPr>
      <w:rFonts w:cs="Symbol"/>
    </w:rPr>
  </w:style>
  <w:style w:type="character" w:customStyle="1" w:styleId="ListLabel125">
    <w:name w:val="ListLabel 125"/>
    <w:qFormat/>
    <w:rsid w:val="007C25FB"/>
    <w:rPr>
      <w:rFonts w:cs="OpenSymbol"/>
    </w:rPr>
  </w:style>
  <w:style w:type="character" w:customStyle="1" w:styleId="ListLabel126">
    <w:name w:val="ListLabel 126"/>
    <w:qFormat/>
    <w:rsid w:val="007C25FB"/>
    <w:rPr>
      <w:rFonts w:cs="Symbol"/>
      <w:color w:val="00000A"/>
    </w:rPr>
  </w:style>
  <w:style w:type="character" w:customStyle="1" w:styleId="ListLabel127">
    <w:name w:val="ListLabel 127"/>
    <w:qFormat/>
    <w:rsid w:val="007C25FB"/>
    <w:rPr>
      <w:rFonts w:cs="Courier New"/>
    </w:rPr>
  </w:style>
  <w:style w:type="character" w:customStyle="1" w:styleId="ListLabel128">
    <w:name w:val="ListLabel 128"/>
    <w:qFormat/>
    <w:rsid w:val="007C25FB"/>
    <w:rPr>
      <w:rFonts w:cs="Wingdings"/>
    </w:rPr>
  </w:style>
  <w:style w:type="character" w:customStyle="1" w:styleId="ListLabel129">
    <w:name w:val="ListLabel 129"/>
    <w:qFormat/>
    <w:rsid w:val="007C25FB"/>
    <w:rPr>
      <w:rFonts w:cs="Symbol"/>
      <w:sz w:val="22"/>
      <w:szCs w:val="22"/>
    </w:rPr>
  </w:style>
  <w:style w:type="character" w:customStyle="1" w:styleId="ListLabel130">
    <w:name w:val="ListLabel 130"/>
    <w:qFormat/>
    <w:rsid w:val="007C25FB"/>
    <w:rPr>
      <w:rFonts w:cs="Symbol"/>
    </w:rPr>
  </w:style>
  <w:style w:type="character" w:customStyle="1" w:styleId="ListLabel131">
    <w:name w:val="ListLabel 131"/>
    <w:qFormat/>
    <w:rsid w:val="007C25FB"/>
    <w:rPr>
      <w:rFonts w:cs="OpenSymbol"/>
    </w:rPr>
  </w:style>
  <w:style w:type="character" w:customStyle="1" w:styleId="ListLabel132">
    <w:name w:val="ListLabel 132"/>
    <w:qFormat/>
    <w:rsid w:val="007C25FB"/>
    <w:rPr>
      <w:rFonts w:cs="Symbol"/>
      <w:color w:val="00000A"/>
    </w:rPr>
  </w:style>
  <w:style w:type="character" w:customStyle="1" w:styleId="ListLabel133">
    <w:name w:val="ListLabel 133"/>
    <w:qFormat/>
    <w:rsid w:val="007C25FB"/>
    <w:rPr>
      <w:rFonts w:cs="Courier New"/>
    </w:rPr>
  </w:style>
  <w:style w:type="character" w:customStyle="1" w:styleId="ListLabel134">
    <w:name w:val="ListLabel 134"/>
    <w:qFormat/>
    <w:rsid w:val="007C25FB"/>
    <w:rPr>
      <w:rFonts w:cs="Wingdings"/>
    </w:rPr>
  </w:style>
  <w:style w:type="character" w:customStyle="1" w:styleId="ListLabel135">
    <w:name w:val="ListLabel 135"/>
    <w:qFormat/>
    <w:rsid w:val="007C25FB"/>
    <w:rPr>
      <w:rFonts w:cs="Symbol"/>
      <w:sz w:val="22"/>
      <w:szCs w:val="22"/>
    </w:rPr>
  </w:style>
  <w:style w:type="character" w:customStyle="1" w:styleId="ListLabel136">
    <w:name w:val="ListLabel 136"/>
    <w:qFormat/>
    <w:rsid w:val="007C25FB"/>
    <w:rPr>
      <w:rFonts w:cs="Symbol"/>
    </w:rPr>
  </w:style>
  <w:style w:type="character" w:customStyle="1" w:styleId="ListLabel137">
    <w:name w:val="ListLabel 137"/>
    <w:qFormat/>
    <w:rsid w:val="007C25FB"/>
    <w:rPr>
      <w:rFonts w:cs="OpenSymbol"/>
    </w:rPr>
  </w:style>
  <w:style w:type="character" w:customStyle="1" w:styleId="ListLabel138">
    <w:name w:val="ListLabel 138"/>
    <w:qFormat/>
    <w:rsid w:val="007C25FB"/>
    <w:rPr>
      <w:rFonts w:cs="Symbol"/>
      <w:color w:val="00000A"/>
    </w:rPr>
  </w:style>
  <w:style w:type="character" w:customStyle="1" w:styleId="ListLabel139">
    <w:name w:val="ListLabel 139"/>
    <w:qFormat/>
    <w:rsid w:val="007C25FB"/>
    <w:rPr>
      <w:rFonts w:cs="Courier New"/>
    </w:rPr>
  </w:style>
  <w:style w:type="character" w:customStyle="1" w:styleId="ListLabel140">
    <w:name w:val="ListLabel 140"/>
    <w:qFormat/>
    <w:rsid w:val="007C25FB"/>
    <w:rPr>
      <w:rFonts w:cs="Wingdings"/>
    </w:rPr>
  </w:style>
  <w:style w:type="character" w:customStyle="1" w:styleId="ListLabel141">
    <w:name w:val="ListLabel 141"/>
    <w:qFormat/>
    <w:rsid w:val="007C25FB"/>
    <w:rPr>
      <w:rFonts w:cs="Symbol"/>
      <w:sz w:val="22"/>
      <w:szCs w:val="22"/>
    </w:rPr>
  </w:style>
  <w:style w:type="character" w:customStyle="1" w:styleId="ListLabel142">
    <w:name w:val="ListLabel 142"/>
    <w:qFormat/>
    <w:rsid w:val="007C25FB"/>
    <w:rPr>
      <w:rFonts w:cs="Symbol"/>
    </w:rPr>
  </w:style>
  <w:style w:type="character" w:customStyle="1" w:styleId="ListLabel143">
    <w:name w:val="ListLabel 143"/>
    <w:qFormat/>
    <w:rsid w:val="007C25FB"/>
    <w:rPr>
      <w:rFonts w:cs="OpenSymbol"/>
    </w:rPr>
  </w:style>
  <w:style w:type="character" w:customStyle="1" w:styleId="ListLabel144">
    <w:name w:val="ListLabel 144"/>
    <w:qFormat/>
    <w:rsid w:val="007C25FB"/>
    <w:rPr>
      <w:rFonts w:cs="Symbol"/>
      <w:color w:val="00000A"/>
    </w:rPr>
  </w:style>
  <w:style w:type="character" w:customStyle="1" w:styleId="ListLabel145">
    <w:name w:val="ListLabel 145"/>
    <w:qFormat/>
    <w:rsid w:val="007C25FB"/>
    <w:rPr>
      <w:rFonts w:cs="Courier New"/>
    </w:rPr>
  </w:style>
  <w:style w:type="character" w:customStyle="1" w:styleId="ListLabel146">
    <w:name w:val="ListLabel 146"/>
    <w:qFormat/>
    <w:rsid w:val="007C25FB"/>
    <w:rPr>
      <w:rFonts w:cs="Wingdings"/>
    </w:rPr>
  </w:style>
  <w:style w:type="character" w:customStyle="1" w:styleId="ListLabel147">
    <w:name w:val="ListLabel 147"/>
    <w:qFormat/>
    <w:rsid w:val="007C25FB"/>
    <w:rPr>
      <w:rFonts w:cs="Symbol"/>
      <w:sz w:val="22"/>
      <w:szCs w:val="22"/>
    </w:rPr>
  </w:style>
  <w:style w:type="character" w:customStyle="1" w:styleId="ListLabel148">
    <w:name w:val="ListLabel 148"/>
    <w:qFormat/>
    <w:rsid w:val="007C25FB"/>
    <w:rPr>
      <w:rFonts w:cs="Symbol"/>
    </w:rPr>
  </w:style>
  <w:style w:type="character" w:customStyle="1" w:styleId="ListLabel149">
    <w:name w:val="ListLabel 149"/>
    <w:qFormat/>
    <w:rsid w:val="007C25FB"/>
    <w:rPr>
      <w:rFonts w:cs="OpenSymbol"/>
    </w:rPr>
  </w:style>
  <w:style w:type="character" w:customStyle="1" w:styleId="ListLabel150">
    <w:name w:val="ListLabel 150"/>
    <w:qFormat/>
    <w:rsid w:val="007C25FB"/>
    <w:rPr>
      <w:rFonts w:cs="Symbol"/>
      <w:color w:val="00000A"/>
    </w:rPr>
  </w:style>
  <w:style w:type="character" w:customStyle="1" w:styleId="ListLabel151">
    <w:name w:val="ListLabel 151"/>
    <w:qFormat/>
    <w:rsid w:val="007C25FB"/>
    <w:rPr>
      <w:rFonts w:cs="Courier New"/>
    </w:rPr>
  </w:style>
  <w:style w:type="character" w:customStyle="1" w:styleId="ListLabel152">
    <w:name w:val="ListLabel 152"/>
    <w:qFormat/>
    <w:rsid w:val="007C25FB"/>
    <w:rPr>
      <w:rFonts w:cs="Wingdings"/>
    </w:rPr>
  </w:style>
  <w:style w:type="character" w:customStyle="1" w:styleId="ListLabel153">
    <w:name w:val="ListLabel 153"/>
    <w:qFormat/>
    <w:rsid w:val="007C25FB"/>
    <w:rPr>
      <w:rFonts w:cs="Symbol"/>
      <w:sz w:val="22"/>
      <w:szCs w:val="22"/>
    </w:rPr>
  </w:style>
  <w:style w:type="character" w:customStyle="1" w:styleId="ListLabel154">
    <w:name w:val="ListLabel 154"/>
    <w:qFormat/>
    <w:rsid w:val="007C25FB"/>
    <w:rPr>
      <w:rFonts w:cs="Symbol"/>
    </w:rPr>
  </w:style>
  <w:style w:type="character" w:customStyle="1" w:styleId="ListLabel155">
    <w:name w:val="ListLabel 155"/>
    <w:qFormat/>
    <w:rsid w:val="007C25FB"/>
    <w:rPr>
      <w:rFonts w:cs="OpenSymbol"/>
    </w:rPr>
  </w:style>
  <w:style w:type="character" w:customStyle="1" w:styleId="WW8Num383z0">
    <w:name w:val="WW8Num383z0"/>
    <w:qFormat/>
    <w:rsid w:val="007C25FB"/>
    <w:rPr>
      <w:b w:val="0"/>
    </w:rPr>
  </w:style>
  <w:style w:type="character" w:customStyle="1" w:styleId="ListLabel156">
    <w:name w:val="ListLabel 156"/>
    <w:qFormat/>
    <w:rsid w:val="007C25FB"/>
    <w:rPr>
      <w:rFonts w:cs="Symbol"/>
      <w:color w:val="00000A"/>
    </w:rPr>
  </w:style>
  <w:style w:type="character" w:customStyle="1" w:styleId="ListLabel157">
    <w:name w:val="ListLabel 157"/>
    <w:qFormat/>
    <w:rsid w:val="007C25FB"/>
    <w:rPr>
      <w:rFonts w:cs="Courier New"/>
    </w:rPr>
  </w:style>
  <w:style w:type="character" w:customStyle="1" w:styleId="ListLabel158">
    <w:name w:val="ListLabel 158"/>
    <w:qFormat/>
    <w:rsid w:val="007C25FB"/>
    <w:rPr>
      <w:rFonts w:cs="Wingdings"/>
    </w:rPr>
  </w:style>
  <w:style w:type="character" w:customStyle="1" w:styleId="ListLabel159">
    <w:name w:val="ListLabel 159"/>
    <w:qFormat/>
    <w:rsid w:val="007C25FB"/>
    <w:rPr>
      <w:rFonts w:cs="Symbol"/>
      <w:sz w:val="22"/>
      <w:szCs w:val="22"/>
    </w:rPr>
  </w:style>
  <w:style w:type="character" w:customStyle="1" w:styleId="ListLabel160">
    <w:name w:val="ListLabel 160"/>
    <w:qFormat/>
    <w:rsid w:val="007C25FB"/>
    <w:rPr>
      <w:rFonts w:cs="Symbol"/>
    </w:rPr>
  </w:style>
  <w:style w:type="character" w:customStyle="1" w:styleId="ListLabel161">
    <w:name w:val="ListLabel 161"/>
    <w:qFormat/>
    <w:rsid w:val="007C25FB"/>
    <w:rPr>
      <w:rFonts w:cs="OpenSymbol"/>
    </w:rPr>
  </w:style>
  <w:style w:type="character" w:customStyle="1" w:styleId="ListLabel162">
    <w:name w:val="ListLabel 162"/>
    <w:qFormat/>
    <w:rsid w:val="007C25FB"/>
    <w:rPr>
      <w:rFonts w:cs="Symbol"/>
      <w:color w:val="00000A"/>
    </w:rPr>
  </w:style>
  <w:style w:type="character" w:customStyle="1" w:styleId="ListLabel163">
    <w:name w:val="ListLabel 163"/>
    <w:qFormat/>
    <w:rsid w:val="007C25FB"/>
    <w:rPr>
      <w:rFonts w:cs="Courier New"/>
    </w:rPr>
  </w:style>
  <w:style w:type="character" w:customStyle="1" w:styleId="ListLabel164">
    <w:name w:val="ListLabel 164"/>
    <w:qFormat/>
    <w:rsid w:val="007C25FB"/>
    <w:rPr>
      <w:rFonts w:cs="Wingdings"/>
    </w:rPr>
  </w:style>
  <w:style w:type="character" w:customStyle="1" w:styleId="ListLabel165">
    <w:name w:val="ListLabel 165"/>
    <w:qFormat/>
    <w:rsid w:val="007C25FB"/>
    <w:rPr>
      <w:rFonts w:cs="Symbol"/>
      <w:sz w:val="22"/>
      <w:szCs w:val="22"/>
    </w:rPr>
  </w:style>
  <w:style w:type="character" w:customStyle="1" w:styleId="ListLabel166">
    <w:name w:val="ListLabel 166"/>
    <w:qFormat/>
    <w:rsid w:val="007C25FB"/>
    <w:rPr>
      <w:rFonts w:cs="Symbol"/>
    </w:rPr>
  </w:style>
  <w:style w:type="character" w:customStyle="1" w:styleId="ListLabel167">
    <w:name w:val="ListLabel 167"/>
    <w:qFormat/>
    <w:rsid w:val="007C25FB"/>
    <w:rPr>
      <w:rFonts w:cs="OpenSymbol"/>
    </w:rPr>
  </w:style>
  <w:style w:type="character" w:customStyle="1" w:styleId="ListLabel168">
    <w:name w:val="ListLabel 168"/>
    <w:qFormat/>
    <w:rsid w:val="007C25FB"/>
    <w:rPr>
      <w:rFonts w:cs="Symbol"/>
      <w:color w:val="00000A"/>
    </w:rPr>
  </w:style>
  <w:style w:type="character" w:customStyle="1" w:styleId="ListLabel169">
    <w:name w:val="ListLabel 169"/>
    <w:qFormat/>
    <w:rsid w:val="007C25FB"/>
    <w:rPr>
      <w:rFonts w:cs="Courier New"/>
    </w:rPr>
  </w:style>
  <w:style w:type="character" w:customStyle="1" w:styleId="ListLabel170">
    <w:name w:val="ListLabel 170"/>
    <w:qFormat/>
    <w:rsid w:val="007C25FB"/>
    <w:rPr>
      <w:rFonts w:cs="Wingdings"/>
    </w:rPr>
  </w:style>
  <w:style w:type="character" w:customStyle="1" w:styleId="ListLabel171">
    <w:name w:val="ListLabel 171"/>
    <w:qFormat/>
    <w:rsid w:val="007C25FB"/>
    <w:rPr>
      <w:rFonts w:cs="Symbol"/>
      <w:sz w:val="22"/>
      <w:szCs w:val="22"/>
    </w:rPr>
  </w:style>
  <w:style w:type="character" w:customStyle="1" w:styleId="ListLabel172">
    <w:name w:val="ListLabel 172"/>
    <w:qFormat/>
    <w:rsid w:val="007C25FB"/>
    <w:rPr>
      <w:rFonts w:cs="Symbol"/>
    </w:rPr>
  </w:style>
  <w:style w:type="character" w:customStyle="1" w:styleId="ListLabel173">
    <w:name w:val="ListLabel 173"/>
    <w:qFormat/>
    <w:rsid w:val="007C25FB"/>
    <w:rPr>
      <w:rFonts w:cs="OpenSymbol"/>
    </w:rPr>
  </w:style>
  <w:style w:type="character" w:customStyle="1" w:styleId="ListLabel174">
    <w:name w:val="ListLabel 174"/>
    <w:qFormat/>
    <w:rsid w:val="007C25FB"/>
    <w:rPr>
      <w:rFonts w:cs="Symbol"/>
      <w:color w:val="00000A"/>
    </w:rPr>
  </w:style>
  <w:style w:type="character" w:customStyle="1" w:styleId="ListLabel175">
    <w:name w:val="ListLabel 175"/>
    <w:qFormat/>
    <w:rsid w:val="007C25FB"/>
    <w:rPr>
      <w:rFonts w:cs="Courier New"/>
    </w:rPr>
  </w:style>
  <w:style w:type="character" w:customStyle="1" w:styleId="ListLabel176">
    <w:name w:val="ListLabel 176"/>
    <w:qFormat/>
    <w:rsid w:val="007C25FB"/>
    <w:rPr>
      <w:rFonts w:cs="Wingdings"/>
    </w:rPr>
  </w:style>
  <w:style w:type="character" w:customStyle="1" w:styleId="ListLabel177">
    <w:name w:val="ListLabel 177"/>
    <w:qFormat/>
    <w:rsid w:val="007C25FB"/>
    <w:rPr>
      <w:rFonts w:cs="Symbol"/>
      <w:sz w:val="22"/>
      <w:szCs w:val="22"/>
    </w:rPr>
  </w:style>
  <w:style w:type="character" w:customStyle="1" w:styleId="ListLabel178">
    <w:name w:val="ListLabel 178"/>
    <w:qFormat/>
    <w:rsid w:val="007C25FB"/>
    <w:rPr>
      <w:rFonts w:cs="Symbol"/>
    </w:rPr>
  </w:style>
  <w:style w:type="character" w:customStyle="1" w:styleId="ListLabel179">
    <w:name w:val="ListLabel 179"/>
    <w:qFormat/>
    <w:rsid w:val="007C25FB"/>
    <w:rPr>
      <w:rFonts w:cs="OpenSymbol"/>
    </w:rPr>
  </w:style>
  <w:style w:type="character" w:customStyle="1" w:styleId="ListLabel180">
    <w:name w:val="ListLabel 180"/>
    <w:qFormat/>
    <w:rsid w:val="007C25FB"/>
    <w:rPr>
      <w:rFonts w:cs="Symbol"/>
      <w:color w:val="00000A"/>
    </w:rPr>
  </w:style>
  <w:style w:type="character" w:customStyle="1" w:styleId="ListLabel181">
    <w:name w:val="ListLabel 181"/>
    <w:qFormat/>
    <w:rsid w:val="007C25FB"/>
    <w:rPr>
      <w:rFonts w:cs="Courier New"/>
    </w:rPr>
  </w:style>
  <w:style w:type="character" w:customStyle="1" w:styleId="ListLabel182">
    <w:name w:val="ListLabel 182"/>
    <w:qFormat/>
    <w:rsid w:val="007C25FB"/>
    <w:rPr>
      <w:rFonts w:cs="Wingdings"/>
    </w:rPr>
  </w:style>
  <w:style w:type="character" w:customStyle="1" w:styleId="ListLabel183">
    <w:name w:val="ListLabel 183"/>
    <w:qFormat/>
    <w:rsid w:val="007C25FB"/>
    <w:rPr>
      <w:rFonts w:cs="Symbol"/>
      <w:sz w:val="22"/>
      <w:szCs w:val="22"/>
    </w:rPr>
  </w:style>
  <w:style w:type="character" w:customStyle="1" w:styleId="ListLabel184">
    <w:name w:val="ListLabel 184"/>
    <w:qFormat/>
    <w:rsid w:val="007C25FB"/>
    <w:rPr>
      <w:rFonts w:cs="Symbol"/>
    </w:rPr>
  </w:style>
  <w:style w:type="character" w:customStyle="1" w:styleId="ListLabel185">
    <w:name w:val="ListLabel 185"/>
    <w:qFormat/>
    <w:rsid w:val="007C25FB"/>
    <w:rPr>
      <w:rFonts w:cs="OpenSymbol"/>
    </w:rPr>
  </w:style>
  <w:style w:type="character" w:customStyle="1" w:styleId="TekstpodstawowyZnak">
    <w:name w:val="Tekst podstawowy Znak"/>
    <w:basedOn w:val="Domylnaczcionkaakapitu"/>
    <w:qFormat/>
    <w:rsid w:val="007C25FB"/>
  </w:style>
  <w:style w:type="character" w:customStyle="1" w:styleId="StopkaZnak">
    <w:name w:val="Stopka Znak"/>
    <w:basedOn w:val="Domylnaczcionkaakapitu"/>
    <w:qFormat/>
    <w:rsid w:val="007C25FB"/>
    <w:rPr>
      <w:rFonts w:ascii="Times New Roman" w:eastAsia="Andale Sans UI" w:hAnsi="Times New Roman" w:cs="Tahoma"/>
      <w:color w:val="00000A"/>
      <w:sz w:val="24"/>
      <w:szCs w:val="24"/>
      <w:lang w:val="de-DE" w:eastAsia="ja-JP" w:bidi="fa-IR"/>
    </w:rPr>
  </w:style>
  <w:style w:type="character" w:styleId="Pogrubienie">
    <w:name w:val="Strong"/>
    <w:basedOn w:val="Domylnaczcionkaakapitu"/>
    <w:uiPriority w:val="22"/>
    <w:qFormat/>
    <w:rsid w:val="007C25FB"/>
    <w:rPr>
      <w:b/>
      <w:bCs/>
    </w:rPr>
  </w:style>
  <w:style w:type="character" w:styleId="Odwoaniedokomentarza">
    <w:name w:val="annotation reference"/>
    <w:basedOn w:val="Domylnaczcionkaakapitu"/>
    <w:qFormat/>
    <w:rsid w:val="007C25FB"/>
    <w:rPr>
      <w:sz w:val="16"/>
      <w:szCs w:val="16"/>
    </w:rPr>
  </w:style>
  <w:style w:type="character" w:customStyle="1" w:styleId="TekstkomentarzaZnak">
    <w:name w:val="Tekst komentarza Znak"/>
    <w:basedOn w:val="Domylnaczcionkaakapitu"/>
    <w:qFormat/>
    <w:rsid w:val="007C25FB"/>
    <w:rPr>
      <w:sz w:val="20"/>
      <w:szCs w:val="20"/>
    </w:rPr>
  </w:style>
  <w:style w:type="character" w:customStyle="1" w:styleId="TematkomentarzaZnak">
    <w:name w:val="Temat komentarza Znak"/>
    <w:basedOn w:val="TekstkomentarzaZnak"/>
    <w:qFormat/>
    <w:rsid w:val="007C25FB"/>
    <w:rPr>
      <w:b/>
      <w:bCs/>
      <w:sz w:val="20"/>
      <w:szCs w:val="20"/>
    </w:rPr>
  </w:style>
  <w:style w:type="character" w:customStyle="1" w:styleId="TekstdymkaZnak">
    <w:name w:val="Tekst dymka Znak"/>
    <w:basedOn w:val="Domylnaczcionkaakapitu"/>
    <w:qFormat/>
    <w:rsid w:val="007C25FB"/>
    <w:rPr>
      <w:rFonts w:ascii="Tahoma" w:hAnsi="Tahoma" w:cs="Tahoma"/>
      <w:sz w:val="16"/>
      <w:szCs w:val="16"/>
    </w:rPr>
  </w:style>
  <w:style w:type="character" w:customStyle="1" w:styleId="text">
    <w:name w:val="text"/>
    <w:basedOn w:val="Domylnaczcionkaakapitu"/>
    <w:qFormat/>
    <w:rsid w:val="007C25FB"/>
  </w:style>
  <w:style w:type="character" w:customStyle="1" w:styleId="st">
    <w:name w:val="st"/>
    <w:basedOn w:val="Domylnaczcionkaakapitu"/>
    <w:qFormat/>
    <w:rsid w:val="007C25FB"/>
  </w:style>
  <w:style w:type="character" w:customStyle="1" w:styleId="ListLabel186">
    <w:name w:val="ListLabel 186"/>
    <w:qFormat/>
    <w:rsid w:val="007C25FB"/>
    <w:rPr>
      <w:rFonts w:ascii="Arial" w:hAnsi="Arial"/>
      <w:b/>
      <w:sz w:val="22"/>
    </w:rPr>
  </w:style>
  <w:style w:type="character" w:customStyle="1" w:styleId="ListLabel187">
    <w:name w:val="ListLabel 187"/>
    <w:qFormat/>
    <w:rsid w:val="007C25FB"/>
    <w:rPr>
      <w:rFonts w:cs="Symbol"/>
      <w:color w:val="00000A"/>
      <w:sz w:val="22"/>
    </w:rPr>
  </w:style>
  <w:style w:type="character" w:customStyle="1" w:styleId="ListLabel188">
    <w:name w:val="ListLabel 188"/>
    <w:qFormat/>
    <w:rsid w:val="007C25FB"/>
    <w:rPr>
      <w:rFonts w:cs="Courier New"/>
    </w:rPr>
  </w:style>
  <w:style w:type="character" w:customStyle="1" w:styleId="ListLabel189">
    <w:name w:val="ListLabel 189"/>
    <w:qFormat/>
    <w:rsid w:val="007C25FB"/>
    <w:rPr>
      <w:rFonts w:cs="Wingdings"/>
    </w:rPr>
  </w:style>
  <w:style w:type="character" w:customStyle="1" w:styleId="ListLabel190">
    <w:name w:val="ListLabel 190"/>
    <w:qFormat/>
    <w:rsid w:val="007C25FB"/>
    <w:rPr>
      <w:rFonts w:ascii="Arial" w:hAnsi="Arial" w:cs="Symbol"/>
      <w:sz w:val="22"/>
      <w:szCs w:val="22"/>
    </w:rPr>
  </w:style>
  <w:style w:type="character" w:customStyle="1" w:styleId="ListLabel191">
    <w:name w:val="ListLabel 191"/>
    <w:qFormat/>
    <w:rsid w:val="007C25FB"/>
    <w:rPr>
      <w:rFonts w:ascii="Arial" w:hAnsi="Arial" w:cs="Symbol"/>
      <w:sz w:val="22"/>
    </w:rPr>
  </w:style>
  <w:style w:type="character" w:customStyle="1" w:styleId="ListLabel192">
    <w:name w:val="ListLabel 192"/>
    <w:qFormat/>
    <w:rsid w:val="007C25FB"/>
    <w:rPr>
      <w:rFonts w:cs="OpenSymbol"/>
    </w:rPr>
  </w:style>
  <w:style w:type="character" w:customStyle="1" w:styleId="ListLabel193">
    <w:name w:val="ListLabel 193"/>
    <w:qFormat/>
    <w:rsid w:val="007C25FB"/>
    <w:rPr>
      <w:b/>
      <w:color w:val="000000"/>
    </w:rPr>
  </w:style>
  <w:style w:type="character" w:customStyle="1" w:styleId="ListLabel194">
    <w:name w:val="ListLabel 194"/>
    <w:qFormat/>
    <w:rsid w:val="007C25FB"/>
    <w:rPr>
      <w:rFonts w:ascii="Arial" w:hAnsi="Arial"/>
      <w:b/>
      <w:color w:val="000000"/>
      <w:sz w:val="22"/>
      <w:szCs w:val="22"/>
    </w:rPr>
  </w:style>
  <w:style w:type="character" w:customStyle="1" w:styleId="ListLabel195">
    <w:name w:val="ListLabel 195"/>
    <w:qFormat/>
    <w:rsid w:val="007C25FB"/>
    <w:rPr>
      <w:rFonts w:ascii="Arial" w:hAnsi="Arial"/>
    </w:rPr>
  </w:style>
  <w:style w:type="character" w:customStyle="1" w:styleId="ListLabel196">
    <w:name w:val="ListLabel 196"/>
    <w:qFormat/>
    <w:rsid w:val="007C25FB"/>
    <w:rPr>
      <w:rFonts w:ascii="Arial" w:eastAsia="Times New Roman" w:hAnsi="Arial" w:cs="Times New Roman"/>
      <w:b/>
    </w:rPr>
  </w:style>
  <w:style w:type="character" w:customStyle="1" w:styleId="Znakiwypunktowania">
    <w:name w:val="Znaki wypunktowania"/>
    <w:qFormat/>
    <w:rsid w:val="007C25FB"/>
    <w:rPr>
      <w:rFonts w:ascii="OpenSymbol" w:eastAsia="OpenSymbol" w:hAnsi="OpenSymbol" w:cs="OpenSymbol"/>
    </w:rPr>
  </w:style>
  <w:style w:type="character" w:customStyle="1" w:styleId="Znakinumeracji">
    <w:name w:val="Znaki numeracji"/>
    <w:qFormat/>
    <w:rsid w:val="007C25FB"/>
  </w:style>
  <w:style w:type="character" w:customStyle="1" w:styleId="ListLabel197">
    <w:name w:val="ListLabel 197"/>
    <w:qFormat/>
    <w:rsid w:val="007C25FB"/>
    <w:rPr>
      <w:rFonts w:ascii="Arial" w:hAnsi="Arial"/>
      <w:b/>
      <w:sz w:val="22"/>
    </w:rPr>
  </w:style>
  <w:style w:type="character" w:customStyle="1" w:styleId="ListLabel198">
    <w:name w:val="ListLabel 198"/>
    <w:qFormat/>
    <w:rsid w:val="007C25FB"/>
    <w:rPr>
      <w:rFonts w:cs="Symbol"/>
      <w:color w:val="00000A"/>
      <w:sz w:val="22"/>
    </w:rPr>
  </w:style>
  <w:style w:type="character" w:customStyle="1" w:styleId="ListLabel199">
    <w:name w:val="ListLabel 199"/>
    <w:qFormat/>
    <w:rsid w:val="007C25FB"/>
    <w:rPr>
      <w:rFonts w:cs="Courier New"/>
    </w:rPr>
  </w:style>
  <w:style w:type="character" w:customStyle="1" w:styleId="ListLabel200">
    <w:name w:val="ListLabel 200"/>
    <w:qFormat/>
    <w:rsid w:val="007C25FB"/>
    <w:rPr>
      <w:rFonts w:cs="Wingdings"/>
    </w:rPr>
  </w:style>
  <w:style w:type="character" w:customStyle="1" w:styleId="ListLabel201">
    <w:name w:val="ListLabel 201"/>
    <w:qFormat/>
    <w:rsid w:val="007C25FB"/>
    <w:rPr>
      <w:rFonts w:ascii="Arial" w:hAnsi="Arial" w:cs="Symbol"/>
      <w:sz w:val="22"/>
      <w:szCs w:val="22"/>
    </w:rPr>
  </w:style>
  <w:style w:type="character" w:customStyle="1" w:styleId="ListLabel202">
    <w:name w:val="ListLabel 202"/>
    <w:qFormat/>
    <w:rsid w:val="007C25FB"/>
    <w:rPr>
      <w:rFonts w:ascii="Arial" w:hAnsi="Arial" w:cs="Symbol"/>
      <w:sz w:val="22"/>
    </w:rPr>
  </w:style>
  <w:style w:type="character" w:customStyle="1" w:styleId="ListLabel203">
    <w:name w:val="ListLabel 203"/>
    <w:qFormat/>
    <w:rsid w:val="007C25FB"/>
    <w:rPr>
      <w:rFonts w:ascii="Arial" w:hAnsi="Arial" w:cs="OpenSymbol"/>
      <w:sz w:val="22"/>
    </w:rPr>
  </w:style>
  <w:style w:type="character" w:customStyle="1" w:styleId="ListLabel204">
    <w:name w:val="ListLabel 204"/>
    <w:qFormat/>
    <w:rsid w:val="007C25FB"/>
    <w:rPr>
      <w:b/>
      <w:color w:val="000000"/>
    </w:rPr>
  </w:style>
  <w:style w:type="character" w:customStyle="1" w:styleId="ListLabel205">
    <w:name w:val="ListLabel 205"/>
    <w:qFormat/>
    <w:rsid w:val="007C25FB"/>
    <w:rPr>
      <w:rFonts w:ascii="Arial" w:hAnsi="Arial"/>
      <w:b/>
      <w:color w:val="000000"/>
      <w:sz w:val="22"/>
      <w:szCs w:val="22"/>
    </w:rPr>
  </w:style>
  <w:style w:type="character" w:customStyle="1" w:styleId="ListLabel206">
    <w:name w:val="ListLabel 206"/>
    <w:qFormat/>
    <w:rsid w:val="007C25FB"/>
    <w:rPr>
      <w:rFonts w:ascii="Arial" w:hAnsi="Arial" w:cs="Symbol"/>
      <w:sz w:val="22"/>
    </w:rPr>
  </w:style>
  <w:style w:type="character" w:customStyle="1" w:styleId="ListLabel207">
    <w:name w:val="ListLabel 207"/>
    <w:qFormat/>
    <w:rsid w:val="007C25FB"/>
    <w:rPr>
      <w:rFonts w:cs="Times New Roman"/>
      <w:b/>
    </w:rPr>
  </w:style>
  <w:style w:type="character" w:customStyle="1" w:styleId="ListLabel208">
    <w:name w:val="ListLabel 208"/>
    <w:qFormat/>
    <w:rsid w:val="007C25FB"/>
    <w:rPr>
      <w:rFonts w:ascii="Arial" w:hAnsi="Arial"/>
      <w:b/>
      <w:sz w:val="22"/>
    </w:rPr>
  </w:style>
  <w:style w:type="character" w:customStyle="1" w:styleId="ListLabel209">
    <w:name w:val="ListLabel 209"/>
    <w:qFormat/>
    <w:rsid w:val="007C25FB"/>
    <w:rPr>
      <w:rFonts w:cs="Symbol"/>
      <w:color w:val="00000A"/>
      <w:sz w:val="22"/>
    </w:rPr>
  </w:style>
  <w:style w:type="character" w:customStyle="1" w:styleId="ListLabel210">
    <w:name w:val="ListLabel 210"/>
    <w:qFormat/>
    <w:rsid w:val="007C25FB"/>
    <w:rPr>
      <w:rFonts w:cs="Courier New"/>
    </w:rPr>
  </w:style>
  <w:style w:type="character" w:customStyle="1" w:styleId="ListLabel211">
    <w:name w:val="ListLabel 211"/>
    <w:qFormat/>
    <w:rsid w:val="007C25FB"/>
    <w:rPr>
      <w:rFonts w:cs="Wingdings"/>
    </w:rPr>
  </w:style>
  <w:style w:type="character" w:customStyle="1" w:styleId="ListLabel212">
    <w:name w:val="ListLabel 212"/>
    <w:qFormat/>
    <w:rsid w:val="007C25FB"/>
    <w:rPr>
      <w:rFonts w:ascii="Arial" w:hAnsi="Arial" w:cs="Symbol"/>
      <w:sz w:val="22"/>
      <w:szCs w:val="22"/>
      <w:u w:val="none"/>
    </w:rPr>
  </w:style>
  <w:style w:type="character" w:customStyle="1" w:styleId="ListLabel213">
    <w:name w:val="ListLabel 213"/>
    <w:qFormat/>
    <w:rsid w:val="007C25FB"/>
    <w:rPr>
      <w:rFonts w:ascii="Arial" w:hAnsi="Arial" w:cs="Symbol"/>
      <w:sz w:val="22"/>
    </w:rPr>
  </w:style>
  <w:style w:type="character" w:customStyle="1" w:styleId="ListLabel214">
    <w:name w:val="ListLabel 214"/>
    <w:qFormat/>
    <w:rsid w:val="007C25FB"/>
    <w:rPr>
      <w:rFonts w:ascii="Arial" w:hAnsi="Arial" w:cs="OpenSymbol"/>
      <w:sz w:val="22"/>
    </w:rPr>
  </w:style>
  <w:style w:type="character" w:customStyle="1" w:styleId="ListLabel215">
    <w:name w:val="ListLabel 215"/>
    <w:qFormat/>
    <w:rsid w:val="007C25FB"/>
    <w:rPr>
      <w:b/>
      <w:color w:val="000000"/>
    </w:rPr>
  </w:style>
  <w:style w:type="character" w:customStyle="1" w:styleId="ListLabel216">
    <w:name w:val="ListLabel 216"/>
    <w:qFormat/>
    <w:rsid w:val="007C25FB"/>
    <w:rPr>
      <w:rFonts w:ascii="Arial" w:hAnsi="Arial"/>
      <w:b/>
      <w:color w:val="000000"/>
      <w:sz w:val="22"/>
      <w:szCs w:val="22"/>
    </w:rPr>
  </w:style>
  <w:style w:type="character" w:customStyle="1" w:styleId="ListLabel217">
    <w:name w:val="ListLabel 217"/>
    <w:qFormat/>
    <w:rsid w:val="007C25FB"/>
    <w:rPr>
      <w:rFonts w:cs="Times New Roman"/>
      <w:b/>
    </w:rPr>
  </w:style>
  <w:style w:type="character" w:customStyle="1" w:styleId="ListLabel218">
    <w:name w:val="ListLabel 218"/>
    <w:qFormat/>
    <w:rsid w:val="007C25FB"/>
    <w:rPr>
      <w:b/>
      <w:sz w:val="22"/>
    </w:rPr>
  </w:style>
  <w:style w:type="character" w:customStyle="1" w:styleId="ListLabel219">
    <w:name w:val="ListLabel 219"/>
    <w:qFormat/>
    <w:rsid w:val="007C25FB"/>
    <w:rPr>
      <w:rFonts w:cs="Symbol"/>
      <w:color w:val="00000A"/>
      <w:sz w:val="22"/>
    </w:rPr>
  </w:style>
  <w:style w:type="character" w:customStyle="1" w:styleId="ListLabel220">
    <w:name w:val="ListLabel 220"/>
    <w:qFormat/>
    <w:rsid w:val="007C25FB"/>
    <w:rPr>
      <w:rFonts w:cs="Courier New"/>
    </w:rPr>
  </w:style>
  <w:style w:type="character" w:customStyle="1" w:styleId="ListLabel221">
    <w:name w:val="ListLabel 221"/>
    <w:qFormat/>
    <w:rsid w:val="007C25FB"/>
    <w:rPr>
      <w:rFonts w:cs="Wingdings"/>
    </w:rPr>
  </w:style>
  <w:style w:type="character" w:customStyle="1" w:styleId="ListLabel222">
    <w:name w:val="ListLabel 222"/>
    <w:qFormat/>
    <w:rsid w:val="007C25FB"/>
    <w:rPr>
      <w:rFonts w:ascii="Arial" w:hAnsi="Arial" w:cs="Symbol"/>
      <w:sz w:val="22"/>
      <w:szCs w:val="22"/>
      <w:u w:val="none"/>
    </w:rPr>
  </w:style>
  <w:style w:type="character" w:customStyle="1" w:styleId="ListLabel223">
    <w:name w:val="ListLabel 223"/>
    <w:qFormat/>
    <w:rsid w:val="007C25FB"/>
    <w:rPr>
      <w:b/>
      <w:color w:val="000000"/>
    </w:rPr>
  </w:style>
  <w:style w:type="character" w:customStyle="1" w:styleId="ListLabel224">
    <w:name w:val="ListLabel 224"/>
    <w:qFormat/>
    <w:rsid w:val="007C25FB"/>
    <w:rPr>
      <w:rFonts w:ascii="Arial" w:hAnsi="Arial"/>
      <w:b/>
      <w:color w:val="000000"/>
      <w:sz w:val="22"/>
      <w:szCs w:val="22"/>
    </w:rPr>
  </w:style>
  <w:style w:type="character" w:customStyle="1" w:styleId="ListLabel225">
    <w:name w:val="ListLabel 225"/>
    <w:qFormat/>
    <w:rsid w:val="007C25FB"/>
    <w:rPr>
      <w:rFonts w:ascii="Arial" w:hAnsi="Arial" w:cs="Symbol"/>
      <w:sz w:val="22"/>
    </w:rPr>
  </w:style>
  <w:style w:type="character" w:customStyle="1" w:styleId="ListLabel226">
    <w:name w:val="ListLabel 226"/>
    <w:qFormat/>
    <w:rsid w:val="007C25FB"/>
    <w:rPr>
      <w:rFonts w:cs="Times New Roman"/>
      <w:b/>
    </w:rPr>
  </w:style>
  <w:style w:type="character" w:customStyle="1" w:styleId="ListLabel227">
    <w:name w:val="ListLabel 227"/>
    <w:qFormat/>
    <w:rsid w:val="007C25FB"/>
    <w:rPr>
      <w:rFonts w:ascii="Arial" w:hAnsi="Arial" w:cs="OpenSymbol"/>
      <w:sz w:val="22"/>
    </w:rPr>
  </w:style>
  <w:style w:type="character" w:customStyle="1" w:styleId="ListLabel228">
    <w:name w:val="ListLabel 228"/>
    <w:qFormat/>
    <w:rsid w:val="007C25FB"/>
    <w:rPr>
      <w:rFonts w:cs="Symbol"/>
    </w:rPr>
  </w:style>
  <w:style w:type="character" w:customStyle="1" w:styleId="ListLabel229">
    <w:name w:val="ListLabel 229"/>
    <w:qFormat/>
    <w:rsid w:val="007C25FB"/>
    <w:rPr>
      <w:rFonts w:cs="OpenSymbol"/>
    </w:rPr>
  </w:style>
  <w:style w:type="paragraph" w:styleId="Nagwek">
    <w:name w:val="header"/>
    <w:basedOn w:val="Normalny"/>
    <w:next w:val="Tretekstu"/>
    <w:link w:val="NagwekZnak1"/>
    <w:qFormat/>
    <w:rsid w:val="007C25FB"/>
    <w:pPr>
      <w:keepNext/>
      <w:spacing w:before="240" w:after="120"/>
    </w:pPr>
    <w:rPr>
      <w:rFonts w:ascii="Liberation Sans" w:eastAsia="Arial Unicode MS" w:hAnsi="Liberation Sans" w:cs="Mangal"/>
      <w:sz w:val="28"/>
      <w:szCs w:val="28"/>
    </w:rPr>
  </w:style>
  <w:style w:type="character" w:customStyle="1" w:styleId="NagwekZnak1">
    <w:name w:val="Nagłówek Znak1"/>
    <w:basedOn w:val="Domylnaczcionkaakapitu"/>
    <w:link w:val="Nagwek"/>
    <w:rsid w:val="007C25FB"/>
    <w:rPr>
      <w:rFonts w:ascii="Liberation Sans" w:eastAsia="Arial Unicode MS" w:hAnsi="Liberation Sans" w:cs="Mangal"/>
      <w:color w:val="00000A"/>
      <w:sz w:val="28"/>
      <w:szCs w:val="28"/>
      <w:lang w:eastAsia="pl-PL"/>
    </w:rPr>
  </w:style>
  <w:style w:type="paragraph" w:customStyle="1" w:styleId="Tretekstu">
    <w:name w:val="Treść tekstu"/>
    <w:basedOn w:val="Normalny"/>
    <w:rsid w:val="007C25FB"/>
    <w:pPr>
      <w:spacing w:after="120"/>
    </w:pPr>
  </w:style>
  <w:style w:type="paragraph" w:styleId="Lista">
    <w:name w:val="List"/>
    <w:basedOn w:val="Tekst"/>
    <w:rsid w:val="007C25FB"/>
    <w:rPr>
      <w:rFonts w:cs="Mangal"/>
    </w:rPr>
  </w:style>
  <w:style w:type="paragraph" w:styleId="Podpis">
    <w:name w:val="Signature"/>
    <w:basedOn w:val="Normalny"/>
    <w:link w:val="PodpisZnak"/>
    <w:rsid w:val="007C25FB"/>
    <w:pPr>
      <w:suppressLineNumbers/>
      <w:spacing w:before="120" w:after="120"/>
    </w:pPr>
    <w:rPr>
      <w:rFonts w:cs="Mangal"/>
      <w:i/>
      <w:iCs/>
      <w:sz w:val="24"/>
      <w:szCs w:val="24"/>
    </w:rPr>
  </w:style>
  <w:style w:type="character" w:customStyle="1" w:styleId="PodpisZnak">
    <w:name w:val="Podpis Znak"/>
    <w:basedOn w:val="Domylnaczcionkaakapitu"/>
    <w:link w:val="Podpis"/>
    <w:rsid w:val="007C25FB"/>
    <w:rPr>
      <w:rFonts w:ascii="Calibri" w:eastAsia="Segoe UI" w:hAnsi="Calibri" w:cs="Mangal"/>
      <w:i/>
      <w:iCs/>
      <w:color w:val="00000A"/>
      <w:sz w:val="24"/>
      <w:szCs w:val="24"/>
      <w:lang w:eastAsia="pl-PL"/>
    </w:rPr>
  </w:style>
  <w:style w:type="paragraph" w:customStyle="1" w:styleId="Indeks">
    <w:name w:val="Indeks"/>
    <w:basedOn w:val="Normalny"/>
    <w:qFormat/>
    <w:rsid w:val="007C25FB"/>
    <w:pPr>
      <w:widowControl w:val="0"/>
      <w:suppressLineNumbers/>
    </w:pPr>
    <w:rPr>
      <w:rFonts w:cs="Mangal"/>
    </w:rPr>
  </w:style>
  <w:style w:type="paragraph" w:customStyle="1" w:styleId="Gwka">
    <w:name w:val="Główka"/>
    <w:basedOn w:val="Normalny"/>
    <w:next w:val="Tekst"/>
    <w:rsid w:val="007C25FB"/>
    <w:pPr>
      <w:keepNext/>
      <w:widowControl w:val="0"/>
      <w:tabs>
        <w:tab w:val="center" w:pos="4536"/>
        <w:tab w:val="right" w:pos="9072"/>
      </w:tabs>
      <w:spacing w:before="240" w:after="120"/>
    </w:pPr>
    <w:rPr>
      <w:rFonts w:ascii="Arial" w:eastAsia="Arial Unicode MS" w:hAnsi="Arial" w:cs="Mangal"/>
      <w:sz w:val="28"/>
      <w:szCs w:val="28"/>
    </w:rPr>
  </w:style>
  <w:style w:type="paragraph" w:customStyle="1" w:styleId="Tekst">
    <w:name w:val="Tekst"/>
    <w:basedOn w:val="Podpis"/>
    <w:qFormat/>
    <w:rsid w:val="007C25FB"/>
    <w:pPr>
      <w:widowControl w:val="0"/>
      <w:spacing w:before="0"/>
    </w:pPr>
    <w:rPr>
      <w:rFonts w:cs="Tahoma"/>
      <w:sz w:val="20"/>
      <w:szCs w:val="22"/>
    </w:rPr>
  </w:style>
  <w:style w:type="paragraph" w:customStyle="1" w:styleId="Domylnie">
    <w:name w:val="Domyślnie"/>
    <w:qFormat/>
    <w:rsid w:val="007C25FB"/>
    <w:pPr>
      <w:widowControl w:val="0"/>
      <w:suppressAutoHyphens/>
      <w:overflowPunct w:val="0"/>
      <w:spacing w:after="0" w:line="360" w:lineRule="auto"/>
      <w:jc w:val="both"/>
      <w:textAlignment w:val="baseline"/>
    </w:pPr>
    <w:rPr>
      <w:rFonts w:ascii="Times New Roman" w:eastAsia="Andale Sans UI" w:hAnsi="Times New Roman" w:cs="Tahoma"/>
      <w:color w:val="00000A"/>
      <w:sz w:val="24"/>
      <w:szCs w:val="24"/>
      <w:lang w:val="de-DE" w:eastAsia="ja-JP" w:bidi="fa-IR"/>
    </w:rPr>
  </w:style>
  <w:style w:type="paragraph" w:customStyle="1" w:styleId="Sygnatura">
    <w:name w:val="Sygnatura"/>
    <w:basedOn w:val="Domylnie"/>
    <w:rsid w:val="007C25FB"/>
    <w:pPr>
      <w:suppressLineNumbers/>
      <w:spacing w:before="120" w:after="120"/>
    </w:pPr>
    <w:rPr>
      <w:rFonts w:cs="Mangal"/>
      <w:i/>
      <w:iCs/>
    </w:rPr>
  </w:style>
  <w:style w:type="paragraph" w:styleId="Tekstpodstawowy2">
    <w:name w:val="Body Text 2"/>
    <w:basedOn w:val="Domylnie"/>
    <w:link w:val="Tekstpodstawowy2Znak"/>
    <w:qFormat/>
    <w:rsid w:val="007C25FB"/>
    <w:rPr>
      <w:rFonts w:ascii="Arial" w:hAnsi="Arial" w:cs="Arial"/>
      <w:sz w:val="22"/>
    </w:rPr>
  </w:style>
  <w:style w:type="character" w:customStyle="1" w:styleId="Tekstpodstawowy2Znak">
    <w:name w:val="Tekst podstawowy 2 Znak"/>
    <w:basedOn w:val="Domylnaczcionkaakapitu"/>
    <w:link w:val="Tekstpodstawowy2"/>
    <w:rsid w:val="007C25FB"/>
    <w:rPr>
      <w:rFonts w:ascii="Arial" w:eastAsia="Andale Sans UI" w:hAnsi="Arial" w:cs="Arial"/>
      <w:color w:val="00000A"/>
      <w:szCs w:val="24"/>
      <w:lang w:val="de-DE" w:eastAsia="ja-JP" w:bidi="fa-IR"/>
    </w:rPr>
  </w:style>
  <w:style w:type="paragraph" w:styleId="Tekstpodstawowy3">
    <w:name w:val="Body Text 3"/>
    <w:basedOn w:val="Domylnie"/>
    <w:link w:val="Tekstpodstawowy3Znak"/>
    <w:qFormat/>
    <w:rsid w:val="007C25FB"/>
    <w:rPr>
      <w:rFonts w:ascii="Arial" w:hAnsi="Arial" w:cs="Arial"/>
      <w:i/>
      <w:iCs/>
      <w:sz w:val="20"/>
    </w:rPr>
  </w:style>
  <w:style w:type="character" w:customStyle="1" w:styleId="Tekstpodstawowy3Znak">
    <w:name w:val="Tekst podstawowy 3 Znak"/>
    <w:basedOn w:val="Domylnaczcionkaakapitu"/>
    <w:link w:val="Tekstpodstawowy3"/>
    <w:rsid w:val="007C25FB"/>
    <w:rPr>
      <w:rFonts w:ascii="Arial" w:eastAsia="Andale Sans UI" w:hAnsi="Arial" w:cs="Arial"/>
      <w:i/>
      <w:iCs/>
      <w:color w:val="00000A"/>
      <w:sz w:val="20"/>
      <w:szCs w:val="24"/>
      <w:lang w:val="de-DE" w:eastAsia="ja-JP" w:bidi="fa-IR"/>
    </w:rPr>
  </w:style>
  <w:style w:type="paragraph" w:styleId="Stopka">
    <w:name w:val="footer"/>
    <w:basedOn w:val="Domylnie"/>
    <w:link w:val="StopkaZnak1"/>
    <w:rsid w:val="007C25FB"/>
    <w:pPr>
      <w:tabs>
        <w:tab w:val="center" w:pos="4536"/>
        <w:tab w:val="right" w:pos="9072"/>
      </w:tabs>
    </w:pPr>
  </w:style>
  <w:style w:type="character" w:customStyle="1" w:styleId="StopkaZnak1">
    <w:name w:val="Stopka Znak1"/>
    <w:basedOn w:val="Domylnaczcionkaakapitu"/>
    <w:link w:val="Stopka"/>
    <w:rsid w:val="007C25FB"/>
    <w:rPr>
      <w:rFonts w:ascii="Times New Roman" w:eastAsia="Andale Sans UI" w:hAnsi="Times New Roman" w:cs="Tahoma"/>
      <w:color w:val="00000A"/>
      <w:sz w:val="24"/>
      <w:szCs w:val="24"/>
      <w:lang w:val="de-DE" w:eastAsia="ja-JP" w:bidi="fa-IR"/>
    </w:rPr>
  </w:style>
  <w:style w:type="paragraph" w:styleId="NormalnyWeb">
    <w:name w:val="Normal (Web)"/>
    <w:basedOn w:val="Domylnie"/>
    <w:uiPriority w:val="99"/>
    <w:qFormat/>
    <w:rsid w:val="007C25FB"/>
    <w:pPr>
      <w:spacing w:before="28" w:after="28"/>
    </w:pPr>
  </w:style>
  <w:style w:type="paragraph" w:styleId="Tekstprzypisukocowego">
    <w:name w:val="endnote text"/>
    <w:basedOn w:val="Domylnie"/>
    <w:link w:val="TekstprzypisukocowegoZnak1"/>
    <w:uiPriority w:val="99"/>
    <w:qFormat/>
    <w:rsid w:val="007C25FB"/>
    <w:rPr>
      <w:sz w:val="20"/>
      <w:szCs w:val="20"/>
    </w:rPr>
  </w:style>
  <w:style w:type="character" w:customStyle="1" w:styleId="TekstprzypisukocowegoZnak1">
    <w:name w:val="Tekst przypisu końcowego Znak1"/>
    <w:basedOn w:val="Domylnaczcionkaakapitu"/>
    <w:link w:val="Tekstprzypisukocowego"/>
    <w:rsid w:val="007C25FB"/>
    <w:rPr>
      <w:rFonts w:ascii="Times New Roman" w:eastAsia="Andale Sans UI" w:hAnsi="Times New Roman" w:cs="Tahoma"/>
      <w:color w:val="00000A"/>
      <w:sz w:val="20"/>
      <w:szCs w:val="20"/>
      <w:lang w:val="de-DE" w:eastAsia="ja-JP" w:bidi="fa-IR"/>
    </w:rPr>
  </w:style>
  <w:style w:type="paragraph" w:styleId="Akapitzlist">
    <w:name w:val="List Paragraph"/>
    <w:aliases w:val="Numerowanie,Obiekt,List Paragraph1,wypunktowanie"/>
    <w:basedOn w:val="Domylnie"/>
    <w:link w:val="AkapitzlistZnak"/>
    <w:uiPriority w:val="34"/>
    <w:qFormat/>
    <w:rsid w:val="007C25FB"/>
    <w:pPr>
      <w:ind w:left="720"/>
      <w:contextualSpacing/>
    </w:pPr>
  </w:style>
  <w:style w:type="paragraph" w:customStyle="1" w:styleId="Tekstpodstawowy31">
    <w:name w:val="Tekst podstawowy 31"/>
    <w:basedOn w:val="Domylnie"/>
    <w:qFormat/>
    <w:rsid w:val="007C25FB"/>
    <w:rPr>
      <w:rFonts w:ascii="Arial" w:hAnsi="Arial" w:cs="Arial"/>
      <w:i/>
      <w:iCs/>
      <w:sz w:val="20"/>
      <w:lang w:eastAsia="ar-SA"/>
    </w:rPr>
  </w:style>
  <w:style w:type="paragraph" w:customStyle="1" w:styleId="Akapitzlist1">
    <w:name w:val="Akapit z listą1"/>
    <w:basedOn w:val="Domylnie"/>
    <w:uiPriority w:val="99"/>
    <w:qFormat/>
    <w:rsid w:val="007C25FB"/>
    <w:pPr>
      <w:ind w:left="720"/>
    </w:pPr>
    <w:rPr>
      <w:lang w:eastAsia="ar-SA"/>
    </w:rPr>
  </w:style>
  <w:style w:type="paragraph" w:customStyle="1" w:styleId="Zawartotabeli">
    <w:name w:val="Zawartość tabeli"/>
    <w:basedOn w:val="Domylnie"/>
    <w:qFormat/>
    <w:rsid w:val="007C25FB"/>
    <w:pPr>
      <w:suppressLineNumbers/>
    </w:pPr>
  </w:style>
  <w:style w:type="paragraph" w:customStyle="1" w:styleId="Zawartoramki">
    <w:name w:val="Zawartość ramki"/>
    <w:basedOn w:val="Tekst"/>
    <w:qFormat/>
    <w:rsid w:val="007C25FB"/>
  </w:style>
  <w:style w:type="paragraph" w:customStyle="1" w:styleId="Nagwektabeli">
    <w:name w:val="Nagłówek tabeli"/>
    <w:basedOn w:val="Zawartotabeli"/>
    <w:qFormat/>
    <w:rsid w:val="007C25FB"/>
  </w:style>
  <w:style w:type="paragraph" w:customStyle="1" w:styleId="Standard">
    <w:name w:val="Standard"/>
    <w:qFormat/>
    <w:rsid w:val="007C25FB"/>
    <w:pPr>
      <w:suppressAutoHyphens/>
      <w:overflowPunct w:val="0"/>
      <w:textAlignment w:val="baseline"/>
    </w:pPr>
    <w:rPr>
      <w:rFonts w:ascii="Calibri" w:eastAsia="Segoe UI" w:hAnsi="Calibri" w:cs="Tahoma"/>
      <w:color w:val="00000A"/>
      <w:lang w:eastAsia="pl-PL"/>
    </w:rPr>
  </w:style>
  <w:style w:type="paragraph" w:customStyle="1" w:styleId="Default">
    <w:name w:val="Default"/>
    <w:qFormat/>
    <w:rsid w:val="007C25FB"/>
    <w:pPr>
      <w:overflowPunct w:val="0"/>
      <w:spacing w:after="0" w:line="240" w:lineRule="auto"/>
    </w:pPr>
    <w:rPr>
      <w:rFonts w:ascii="Arial" w:eastAsia="Arial Unicode MS" w:hAnsi="Arial" w:cs="Arial"/>
      <w:color w:val="000000"/>
      <w:sz w:val="24"/>
      <w:szCs w:val="24"/>
      <w:lang w:eastAsia="pl-PL"/>
    </w:rPr>
  </w:style>
  <w:style w:type="paragraph" w:customStyle="1" w:styleId="tresc">
    <w:name w:val="tresc"/>
    <w:basedOn w:val="Normalny"/>
    <w:qFormat/>
    <w:rsid w:val="007C25FB"/>
    <w:pPr>
      <w:spacing w:after="300" w:line="240" w:lineRule="auto"/>
    </w:pPr>
    <w:rPr>
      <w:rFonts w:ascii="inherit" w:eastAsia="Times New Roman" w:hAnsi="inherit" w:cs="Times New Roman"/>
      <w:sz w:val="24"/>
      <w:szCs w:val="24"/>
    </w:rPr>
  </w:style>
  <w:style w:type="paragraph" w:styleId="Tekstkomentarza">
    <w:name w:val="annotation text"/>
    <w:basedOn w:val="Normalny"/>
    <w:link w:val="TekstkomentarzaZnak1"/>
    <w:qFormat/>
    <w:rsid w:val="007C25FB"/>
    <w:pPr>
      <w:spacing w:line="240" w:lineRule="auto"/>
    </w:pPr>
    <w:rPr>
      <w:sz w:val="20"/>
      <w:szCs w:val="20"/>
    </w:rPr>
  </w:style>
  <w:style w:type="character" w:customStyle="1" w:styleId="TekstkomentarzaZnak1">
    <w:name w:val="Tekst komentarza Znak1"/>
    <w:basedOn w:val="Domylnaczcionkaakapitu"/>
    <w:link w:val="Tekstkomentarza"/>
    <w:rsid w:val="007C25FB"/>
    <w:rPr>
      <w:rFonts w:ascii="Calibri" w:eastAsia="Segoe UI" w:hAnsi="Calibri" w:cs="Tahoma"/>
      <w:color w:val="00000A"/>
      <w:sz w:val="20"/>
      <w:szCs w:val="20"/>
      <w:lang w:eastAsia="pl-PL"/>
    </w:rPr>
  </w:style>
  <w:style w:type="paragraph" w:styleId="Tematkomentarza">
    <w:name w:val="annotation subject"/>
    <w:basedOn w:val="Tekstkomentarza"/>
    <w:link w:val="TematkomentarzaZnak1"/>
    <w:qFormat/>
    <w:rsid w:val="007C25FB"/>
    <w:rPr>
      <w:b/>
      <w:bCs/>
    </w:rPr>
  </w:style>
  <w:style w:type="character" w:customStyle="1" w:styleId="TematkomentarzaZnak1">
    <w:name w:val="Temat komentarza Znak1"/>
    <w:basedOn w:val="TekstkomentarzaZnak1"/>
    <w:link w:val="Tematkomentarza"/>
    <w:rsid w:val="007C25FB"/>
    <w:rPr>
      <w:rFonts w:ascii="Calibri" w:eastAsia="Segoe UI" w:hAnsi="Calibri" w:cs="Tahoma"/>
      <w:b/>
      <w:bCs/>
      <w:color w:val="00000A"/>
      <w:sz w:val="20"/>
      <w:szCs w:val="20"/>
      <w:lang w:eastAsia="pl-PL"/>
    </w:rPr>
  </w:style>
  <w:style w:type="paragraph" w:styleId="Tekstdymka">
    <w:name w:val="Balloon Text"/>
    <w:basedOn w:val="Normalny"/>
    <w:link w:val="TekstdymkaZnak1"/>
    <w:qFormat/>
    <w:rsid w:val="007C25FB"/>
    <w:pPr>
      <w:spacing w:after="0" w:line="240" w:lineRule="auto"/>
    </w:pPr>
    <w:rPr>
      <w:rFonts w:ascii="Tahoma" w:hAnsi="Tahoma"/>
      <w:sz w:val="16"/>
      <w:szCs w:val="16"/>
    </w:rPr>
  </w:style>
  <w:style w:type="character" w:customStyle="1" w:styleId="TekstdymkaZnak1">
    <w:name w:val="Tekst dymka Znak1"/>
    <w:basedOn w:val="Domylnaczcionkaakapitu"/>
    <w:link w:val="Tekstdymka"/>
    <w:rsid w:val="007C25FB"/>
    <w:rPr>
      <w:rFonts w:ascii="Tahoma" w:eastAsia="Segoe UI" w:hAnsi="Tahoma" w:cs="Tahoma"/>
      <w:color w:val="00000A"/>
      <w:sz w:val="16"/>
      <w:szCs w:val="16"/>
      <w:lang w:eastAsia="pl-PL"/>
    </w:rPr>
  </w:style>
  <w:style w:type="table" w:styleId="Tabela-Siatka">
    <w:name w:val="Table Grid"/>
    <w:basedOn w:val="Standardowy"/>
    <w:uiPriority w:val="59"/>
    <w:rsid w:val="007C25FB"/>
    <w:pPr>
      <w:spacing w:after="0" w:line="240" w:lineRule="auto"/>
    </w:pPr>
    <w:rPr>
      <w:rFonts w:ascii="Calibri" w:eastAsia="Segoe UI" w:hAnsi="Calibri" w:cs="Tahom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C25FB"/>
    <w:pPr>
      <w:spacing w:after="0" w:line="240" w:lineRule="auto"/>
    </w:pPr>
    <w:rPr>
      <w:rFonts w:ascii="Calibri" w:eastAsia="Segoe UI" w:hAnsi="Calibri" w:cs="Tahoma"/>
      <w:color w:val="00000A"/>
      <w:lang w:eastAsia="pl-PL"/>
    </w:rPr>
  </w:style>
  <w:style w:type="character" w:styleId="Hipercze">
    <w:name w:val="Hyperlink"/>
    <w:basedOn w:val="Domylnaczcionkaakapitu"/>
    <w:uiPriority w:val="99"/>
    <w:unhideWhenUsed/>
    <w:rsid w:val="007C25FB"/>
    <w:rPr>
      <w:color w:val="0000FF" w:themeColor="hyperlink"/>
      <w:u w:val="single"/>
    </w:rPr>
  </w:style>
  <w:style w:type="table" w:customStyle="1" w:styleId="Tabela-Siatka1">
    <w:name w:val="Tabela - Siatka1"/>
    <w:basedOn w:val="Standardowy"/>
    <w:next w:val="Tabela-Siatka"/>
    <w:uiPriority w:val="59"/>
    <w:rsid w:val="007C25FB"/>
    <w:pPr>
      <w:spacing w:after="0" w:line="240" w:lineRule="auto"/>
      <w:ind w:firstLine="26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7C25FB"/>
  </w:style>
  <w:style w:type="character" w:styleId="Tekstzastpczy">
    <w:name w:val="Placeholder Text"/>
    <w:basedOn w:val="Domylnaczcionkaakapitu"/>
    <w:uiPriority w:val="99"/>
    <w:semiHidden/>
    <w:rsid w:val="007C25FB"/>
    <w:rPr>
      <w:color w:val="808080"/>
    </w:rPr>
  </w:style>
  <w:style w:type="character" w:styleId="Uwydatnienie">
    <w:name w:val="Emphasis"/>
    <w:basedOn w:val="Domylnaczcionkaakapitu"/>
    <w:uiPriority w:val="20"/>
    <w:qFormat/>
    <w:rsid w:val="007C25FB"/>
    <w:rPr>
      <w:i/>
      <w:iCs/>
    </w:rPr>
  </w:style>
  <w:style w:type="character" w:customStyle="1" w:styleId="alb-s">
    <w:name w:val="a_lb-s"/>
    <w:basedOn w:val="Domylnaczcionkaakapitu"/>
    <w:rsid w:val="007C25FB"/>
  </w:style>
  <w:style w:type="paragraph" w:styleId="Lista2">
    <w:name w:val="List 2"/>
    <w:basedOn w:val="Normalny"/>
    <w:uiPriority w:val="99"/>
    <w:unhideWhenUsed/>
    <w:rsid w:val="007C25FB"/>
    <w:pPr>
      <w:ind w:left="566" w:hanging="283"/>
      <w:contextualSpacing/>
    </w:pPr>
  </w:style>
  <w:style w:type="paragraph" w:styleId="Lista-kontynuacja">
    <w:name w:val="List Continue"/>
    <w:basedOn w:val="Normalny"/>
    <w:uiPriority w:val="99"/>
    <w:unhideWhenUsed/>
    <w:rsid w:val="007C25FB"/>
    <w:pPr>
      <w:spacing w:after="120"/>
      <w:ind w:left="283"/>
      <w:contextualSpacing/>
    </w:pPr>
  </w:style>
  <w:style w:type="paragraph" w:styleId="Lista-kontynuacja2">
    <w:name w:val="List Continue 2"/>
    <w:basedOn w:val="Normalny"/>
    <w:uiPriority w:val="99"/>
    <w:unhideWhenUsed/>
    <w:rsid w:val="007C25FB"/>
    <w:pPr>
      <w:spacing w:after="120"/>
      <w:ind w:left="566"/>
      <w:contextualSpacing/>
    </w:pPr>
  </w:style>
  <w:style w:type="paragraph" w:styleId="Lista-kontynuacja3">
    <w:name w:val="List Continue 3"/>
    <w:basedOn w:val="Normalny"/>
    <w:uiPriority w:val="99"/>
    <w:unhideWhenUsed/>
    <w:rsid w:val="007C25FB"/>
    <w:pPr>
      <w:spacing w:after="120"/>
      <w:ind w:left="849"/>
      <w:contextualSpacing/>
    </w:pPr>
  </w:style>
  <w:style w:type="paragraph" w:styleId="Tekstpodstawowy">
    <w:name w:val="Body Text"/>
    <w:basedOn w:val="Normalny"/>
    <w:link w:val="TekstpodstawowyZnak1"/>
    <w:uiPriority w:val="99"/>
    <w:unhideWhenUsed/>
    <w:rsid w:val="007C25FB"/>
    <w:pPr>
      <w:spacing w:after="120"/>
    </w:pPr>
  </w:style>
  <w:style w:type="character" w:customStyle="1" w:styleId="TekstpodstawowyZnak1">
    <w:name w:val="Tekst podstawowy Znak1"/>
    <w:basedOn w:val="Domylnaczcionkaakapitu"/>
    <w:link w:val="Tekstpodstawowy"/>
    <w:uiPriority w:val="99"/>
    <w:rsid w:val="007C25FB"/>
    <w:rPr>
      <w:rFonts w:ascii="Calibri" w:eastAsia="Segoe UI" w:hAnsi="Calibri" w:cs="Tahoma"/>
      <w:color w:val="00000A"/>
      <w:lang w:eastAsia="pl-PL"/>
    </w:rPr>
  </w:style>
  <w:style w:type="paragraph" w:styleId="Tekstpodstawowyzwciciem">
    <w:name w:val="Body Text First Indent"/>
    <w:basedOn w:val="Tekstpodstawowy"/>
    <w:link w:val="TekstpodstawowyzwciciemZnak"/>
    <w:uiPriority w:val="99"/>
    <w:unhideWhenUsed/>
    <w:rsid w:val="007C25FB"/>
    <w:pPr>
      <w:spacing w:after="200"/>
      <w:ind w:firstLine="360"/>
    </w:pPr>
  </w:style>
  <w:style w:type="character" w:customStyle="1" w:styleId="TekstpodstawowyzwciciemZnak">
    <w:name w:val="Tekst podstawowy z wcięciem Znak"/>
    <w:basedOn w:val="TekstpodstawowyZnak1"/>
    <w:link w:val="Tekstpodstawowyzwciciem"/>
    <w:uiPriority w:val="99"/>
    <w:rsid w:val="007C25FB"/>
    <w:rPr>
      <w:rFonts w:ascii="Calibri" w:eastAsia="Segoe UI" w:hAnsi="Calibri" w:cs="Tahoma"/>
      <w:color w:val="00000A"/>
      <w:lang w:eastAsia="pl-PL"/>
    </w:rPr>
  </w:style>
  <w:style w:type="character" w:customStyle="1" w:styleId="highlight">
    <w:name w:val="highlight"/>
    <w:basedOn w:val="Domylnaczcionkaakapitu"/>
    <w:rsid w:val="007C25FB"/>
  </w:style>
  <w:style w:type="character" w:customStyle="1" w:styleId="questionhighlight">
    <w:name w:val="question_highlight"/>
    <w:basedOn w:val="Domylnaczcionkaakapitu"/>
    <w:rsid w:val="007C25FB"/>
  </w:style>
  <w:style w:type="character" w:customStyle="1" w:styleId="dopasowaniewzorca">
    <w:name w:val="dopasowaniewzorca"/>
    <w:basedOn w:val="Domylnaczcionkaakapitu"/>
    <w:rsid w:val="007C25FB"/>
  </w:style>
  <w:style w:type="paragraph" w:customStyle="1" w:styleId="text-left">
    <w:name w:val="text-left"/>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binding">
    <w:name w:val="ng-binding"/>
    <w:basedOn w:val="Domylnaczcionkaakapitu"/>
    <w:rsid w:val="007C25FB"/>
  </w:style>
  <w:style w:type="table" w:customStyle="1" w:styleId="Tabela-Siatka11">
    <w:name w:val="Tabela - Siatka11"/>
    <w:basedOn w:val="Standardowy"/>
    <w:uiPriority w:val="59"/>
    <w:rsid w:val="00A109AA"/>
    <w:pPr>
      <w:spacing w:after="0" w:line="240" w:lineRule="auto"/>
      <w:ind w:firstLine="266"/>
      <w:jc w:val="both"/>
    </w:pPr>
    <w:rPr>
      <w:rFonts w:ascii="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Obiekt Znak,List Paragraph1 Znak,wypunktowanie Znak"/>
    <w:link w:val="Akapitzlist"/>
    <w:uiPriority w:val="34"/>
    <w:qFormat/>
    <w:locked/>
    <w:rsid w:val="004609DD"/>
    <w:rPr>
      <w:rFonts w:ascii="Times New Roman" w:eastAsia="Andale Sans UI" w:hAnsi="Times New Roman" w:cs="Tahoma"/>
      <w:color w:val="00000A"/>
      <w:sz w:val="24"/>
      <w:szCs w:val="24"/>
      <w:lang w:val="de-DE" w:eastAsia="ja-JP" w:bidi="fa-IR"/>
    </w:rPr>
  </w:style>
  <w:style w:type="character" w:styleId="Nierozpoznanawzmianka">
    <w:name w:val="Unresolved Mention"/>
    <w:basedOn w:val="Domylnaczcionkaakapitu"/>
    <w:uiPriority w:val="99"/>
    <w:semiHidden/>
    <w:unhideWhenUsed/>
    <w:rsid w:val="00515B72"/>
    <w:rPr>
      <w:color w:val="605E5C"/>
      <w:shd w:val="clear" w:color="auto" w:fill="E1DFDD"/>
    </w:rPr>
  </w:style>
  <w:style w:type="numbering" w:customStyle="1" w:styleId="Zaimportowanystyl4">
    <w:name w:val="Zaimportowany styl 4"/>
    <w:rsid w:val="0057072D"/>
    <w:pPr>
      <w:numPr>
        <w:numId w:val="9"/>
      </w:numPr>
    </w:pPr>
  </w:style>
  <w:style w:type="numbering" w:customStyle="1" w:styleId="Zaimportowanystyl6">
    <w:name w:val="Zaimportowany styl 6"/>
    <w:rsid w:val="0057072D"/>
    <w:pPr>
      <w:numPr>
        <w:numId w:val="10"/>
      </w:numPr>
    </w:pPr>
  </w:style>
  <w:style w:type="numbering" w:customStyle="1" w:styleId="Zaimportowanystyl7">
    <w:name w:val="Zaimportowany styl 7"/>
    <w:rsid w:val="0057072D"/>
    <w:pPr>
      <w:numPr>
        <w:numId w:val="11"/>
      </w:numPr>
    </w:pPr>
  </w:style>
  <w:style w:type="paragraph" w:styleId="Bezodstpw">
    <w:name w:val="No Spacing"/>
    <w:uiPriority w:val="1"/>
    <w:qFormat/>
    <w:rsid w:val="0057072D"/>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semiHidden/>
    <w:unhideWhenUsed/>
    <w:rsid w:val="005707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72D"/>
    <w:rPr>
      <w:rFonts w:ascii="Calibri" w:eastAsia="Segoe UI" w:hAnsi="Calibri" w:cs="Tahoma"/>
      <w:color w:val="00000A"/>
      <w:sz w:val="20"/>
      <w:szCs w:val="20"/>
      <w:lang w:eastAsia="pl-PL"/>
    </w:rPr>
  </w:style>
  <w:style w:type="character" w:styleId="Odwoanieprzypisudolnego">
    <w:name w:val="footnote reference"/>
    <w:basedOn w:val="Domylnaczcionkaakapitu"/>
    <w:uiPriority w:val="99"/>
    <w:semiHidden/>
    <w:unhideWhenUsed/>
    <w:rsid w:val="0057072D"/>
    <w:rPr>
      <w:vertAlign w:val="superscript"/>
    </w:rPr>
  </w:style>
  <w:style w:type="table" w:customStyle="1" w:styleId="Tabela-Siatka2">
    <w:name w:val="Tabela - Siatka2"/>
    <w:basedOn w:val="Standardowy"/>
    <w:next w:val="Tabela-Siatka"/>
    <w:uiPriority w:val="59"/>
    <w:rsid w:val="0057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7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72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384BC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84C9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9A0D8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904">
      <w:bodyDiv w:val="1"/>
      <w:marLeft w:val="0"/>
      <w:marRight w:val="0"/>
      <w:marTop w:val="0"/>
      <w:marBottom w:val="0"/>
      <w:divBdr>
        <w:top w:val="none" w:sz="0" w:space="0" w:color="auto"/>
        <w:left w:val="none" w:sz="0" w:space="0" w:color="auto"/>
        <w:bottom w:val="none" w:sz="0" w:space="0" w:color="auto"/>
        <w:right w:val="none" w:sz="0" w:space="0" w:color="auto"/>
      </w:divBdr>
    </w:div>
    <w:div w:id="11879506">
      <w:bodyDiv w:val="1"/>
      <w:marLeft w:val="0"/>
      <w:marRight w:val="0"/>
      <w:marTop w:val="0"/>
      <w:marBottom w:val="0"/>
      <w:divBdr>
        <w:top w:val="none" w:sz="0" w:space="0" w:color="auto"/>
        <w:left w:val="none" w:sz="0" w:space="0" w:color="auto"/>
        <w:bottom w:val="none" w:sz="0" w:space="0" w:color="auto"/>
        <w:right w:val="none" w:sz="0" w:space="0" w:color="auto"/>
      </w:divBdr>
    </w:div>
    <w:div w:id="53701168">
      <w:bodyDiv w:val="1"/>
      <w:marLeft w:val="0"/>
      <w:marRight w:val="0"/>
      <w:marTop w:val="0"/>
      <w:marBottom w:val="0"/>
      <w:divBdr>
        <w:top w:val="none" w:sz="0" w:space="0" w:color="auto"/>
        <w:left w:val="none" w:sz="0" w:space="0" w:color="auto"/>
        <w:bottom w:val="none" w:sz="0" w:space="0" w:color="auto"/>
        <w:right w:val="none" w:sz="0" w:space="0" w:color="auto"/>
      </w:divBdr>
    </w:div>
    <w:div w:id="113797317">
      <w:bodyDiv w:val="1"/>
      <w:marLeft w:val="0"/>
      <w:marRight w:val="0"/>
      <w:marTop w:val="0"/>
      <w:marBottom w:val="0"/>
      <w:divBdr>
        <w:top w:val="none" w:sz="0" w:space="0" w:color="auto"/>
        <w:left w:val="none" w:sz="0" w:space="0" w:color="auto"/>
        <w:bottom w:val="none" w:sz="0" w:space="0" w:color="auto"/>
        <w:right w:val="none" w:sz="0" w:space="0" w:color="auto"/>
      </w:divBdr>
      <w:divsChild>
        <w:div w:id="1173767296">
          <w:marLeft w:val="0"/>
          <w:marRight w:val="0"/>
          <w:marTop w:val="0"/>
          <w:marBottom w:val="0"/>
          <w:divBdr>
            <w:top w:val="none" w:sz="0" w:space="0" w:color="auto"/>
            <w:left w:val="none" w:sz="0" w:space="0" w:color="auto"/>
            <w:bottom w:val="none" w:sz="0" w:space="0" w:color="auto"/>
            <w:right w:val="none" w:sz="0" w:space="0" w:color="auto"/>
          </w:divBdr>
        </w:div>
      </w:divsChild>
    </w:div>
    <w:div w:id="151025291">
      <w:bodyDiv w:val="1"/>
      <w:marLeft w:val="0"/>
      <w:marRight w:val="0"/>
      <w:marTop w:val="0"/>
      <w:marBottom w:val="0"/>
      <w:divBdr>
        <w:top w:val="none" w:sz="0" w:space="0" w:color="auto"/>
        <w:left w:val="none" w:sz="0" w:space="0" w:color="auto"/>
        <w:bottom w:val="none" w:sz="0" w:space="0" w:color="auto"/>
        <w:right w:val="none" w:sz="0" w:space="0" w:color="auto"/>
      </w:divBdr>
    </w:div>
    <w:div w:id="221598695">
      <w:bodyDiv w:val="1"/>
      <w:marLeft w:val="0"/>
      <w:marRight w:val="0"/>
      <w:marTop w:val="0"/>
      <w:marBottom w:val="0"/>
      <w:divBdr>
        <w:top w:val="none" w:sz="0" w:space="0" w:color="auto"/>
        <w:left w:val="none" w:sz="0" w:space="0" w:color="auto"/>
        <w:bottom w:val="none" w:sz="0" w:space="0" w:color="auto"/>
        <w:right w:val="none" w:sz="0" w:space="0" w:color="auto"/>
      </w:divBdr>
      <w:divsChild>
        <w:div w:id="943807635">
          <w:marLeft w:val="0"/>
          <w:marRight w:val="0"/>
          <w:marTop w:val="0"/>
          <w:marBottom w:val="0"/>
          <w:divBdr>
            <w:top w:val="none" w:sz="0" w:space="0" w:color="auto"/>
            <w:left w:val="none" w:sz="0" w:space="0" w:color="auto"/>
            <w:bottom w:val="none" w:sz="0" w:space="0" w:color="auto"/>
            <w:right w:val="none" w:sz="0" w:space="0" w:color="auto"/>
          </w:divBdr>
        </w:div>
      </w:divsChild>
    </w:div>
    <w:div w:id="301884128">
      <w:bodyDiv w:val="1"/>
      <w:marLeft w:val="0"/>
      <w:marRight w:val="0"/>
      <w:marTop w:val="0"/>
      <w:marBottom w:val="0"/>
      <w:divBdr>
        <w:top w:val="none" w:sz="0" w:space="0" w:color="auto"/>
        <w:left w:val="none" w:sz="0" w:space="0" w:color="auto"/>
        <w:bottom w:val="none" w:sz="0" w:space="0" w:color="auto"/>
        <w:right w:val="none" w:sz="0" w:space="0" w:color="auto"/>
      </w:divBdr>
    </w:div>
    <w:div w:id="312413871">
      <w:bodyDiv w:val="1"/>
      <w:marLeft w:val="0"/>
      <w:marRight w:val="0"/>
      <w:marTop w:val="0"/>
      <w:marBottom w:val="0"/>
      <w:divBdr>
        <w:top w:val="none" w:sz="0" w:space="0" w:color="auto"/>
        <w:left w:val="none" w:sz="0" w:space="0" w:color="auto"/>
        <w:bottom w:val="none" w:sz="0" w:space="0" w:color="auto"/>
        <w:right w:val="none" w:sz="0" w:space="0" w:color="auto"/>
      </w:divBdr>
      <w:divsChild>
        <w:div w:id="944535901">
          <w:marLeft w:val="0"/>
          <w:marRight w:val="0"/>
          <w:marTop w:val="0"/>
          <w:marBottom w:val="0"/>
          <w:divBdr>
            <w:top w:val="none" w:sz="0" w:space="0" w:color="auto"/>
            <w:left w:val="none" w:sz="0" w:space="0" w:color="auto"/>
            <w:bottom w:val="none" w:sz="0" w:space="0" w:color="auto"/>
            <w:right w:val="none" w:sz="0" w:space="0" w:color="auto"/>
          </w:divBdr>
        </w:div>
      </w:divsChild>
    </w:div>
    <w:div w:id="342512774">
      <w:bodyDiv w:val="1"/>
      <w:marLeft w:val="0"/>
      <w:marRight w:val="0"/>
      <w:marTop w:val="0"/>
      <w:marBottom w:val="0"/>
      <w:divBdr>
        <w:top w:val="none" w:sz="0" w:space="0" w:color="auto"/>
        <w:left w:val="none" w:sz="0" w:space="0" w:color="auto"/>
        <w:bottom w:val="none" w:sz="0" w:space="0" w:color="auto"/>
        <w:right w:val="none" w:sz="0" w:space="0" w:color="auto"/>
      </w:divBdr>
    </w:div>
    <w:div w:id="486291053">
      <w:bodyDiv w:val="1"/>
      <w:marLeft w:val="0"/>
      <w:marRight w:val="0"/>
      <w:marTop w:val="0"/>
      <w:marBottom w:val="0"/>
      <w:divBdr>
        <w:top w:val="none" w:sz="0" w:space="0" w:color="auto"/>
        <w:left w:val="none" w:sz="0" w:space="0" w:color="auto"/>
        <w:bottom w:val="none" w:sz="0" w:space="0" w:color="auto"/>
        <w:right w:val="none" w:sz="0" w:space="0" w:color="auto"/>
      </w:divBdr>
    </w:div>
    <w:div w:id="566573924">
      <w:bodyDiv w:val="1"/>
      <w:marLeft w:val="0"/>
      <w:marRight w:val="0"/>
      <w:marTop w:val="0"/>
      <w:marBottom w:val="0"/>
      <w:divBdr>
        <w:top w:val="none" w:sz="0" w:space="0" w:color="auto"/>
        <w:left w:val="none" w:sz="0" w:space="0" w:color="auto"/>
        <w:bottom w:val="none" w:sz="0" w:space="0" w:color="auto"/>
        <w:right w:val="none" w:sz="0" w:space="0" w:color="auto"/>
      </w:divBdr>
      <w:divsChild>
        <w:div w:id="1613126693">
          <w:marLeft w:val="0"/>
          <w:marRight w:val="0"/>
          <w:marTop w:val="0"/>
          <w:marBottom w:val="0"/>
          <w:divBdr>
            <w:top w:val="none" w:sz="0" w:space="0" w:color="auto"/>
            <w:left w:val="none" w:sz="0" w:space="0" w:color="auto"/>
            <w:bottom w:val="none" w:sz="0" w:space="0" w:color="auto"/>
            <w:right w:val="none" w:sz="0" w:space="0" w:color="auto"/>
          </w:divBdr>
          <w:divsChild>
            <w:div w:id="12410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355">
      <w:bodyDiv w:val="1"/>
      <w:marLeft w:val="0"/>
      <w:marRight w:val="0"/>
      <w:marTop w:val="0"/>
      <w:marBottom w:val="0"/>
      <w:divBdr>
        <w:top w:val="none" w:sz="0" w:space="0" w:color="auto"/>
        <w:left w:val="none" w:sz="0" w:space="0" w:color="auto"/>
        <w:bottom w:val="none" w:sz="0" w:space="0" w:color="auto"/>
        <w:right w:val="none" w:sz="0" w:space="0" w:color="auto"/>
      </w:divBdr>
    </w:div>
    <w:div w:id="597952162">
      <w:bodyDiv w:val="1"/>
      <w:marLeft w:val="0"/>
      <w:marRight w:val="0"/>
      <w:marTop w:val="0"/>
      <w:marBottom w:val="0"/>
      <w:divBdr>
        <w:top w:val="none" w:sz="0" w:space="0" w:color="auto"/>
        <w:left w:val="none" w:sz="0" w:space="0" w:color="auto"/>
        <w:bottom w:val="none" w:sz="0" w:space="0" w:color="auto"/>
        <w:right w:val="none" w:sz="0" w:space="0" w:color="auto"/>
      </w:divBdr>
      <w:divsChild>
        <w:div w:id="837429973">
          <w:marLeft w:val="0"/>
          <w:marRight w:val="0"/>
          <w:marTop w:val="0"/>
          <w:marBottom w:val="240"/>
          <w:divBdr>
            <w:top w:val="none" w:sz="0" w:space="0" w:color="auto"/>
            <w:left w:val="none" w:sz="0" w:space="0" w:color="auto"/>
            <w:bottom w:val="none" w:sz="0" w:space="0" w:color="auto"/>
            <w:right w:val="none" w:sz="0" w:space="0" w:color="auto"/>
          </w:divBdr>
        </w:div>
        <w:div w:id="1147817900">
          <w:marLeft w:val="0"/>
          <w:marRight w:val="0"/>
          <w:marTop w:val="0"/>
          <w:marBottom w:val="240"/>
          <w:divBdr>
            <w:top w:val="none" w:sz="0" w:space="0" w:color="auto"/>
            <w:left w:val="none" w:sz="0" w:space="0" w:color="auto"/>
            <w:bottom w:val="none" w:sz="0" w:space="0" w:color="auto"/>
            <w:right w:val="none" w:sz="0" w:space="0" w:color="auto"/>
          </w:divBdr>
          <w:divsChild>
            <w:div w:id="1410271237">
              <w:marLeft w:val="0"/>
              <w:marRight w:val="0"/>
              <w:marTop w:val="0"/>
              <w:marBottom w:val="0"/>
              <w:divBdr>
                <w:top w:val="none" w:sz="0" w:space="0" w:color="auto"/>
                <w:left w:val="none" w:sz="0" w:space="0" w:color="auto"/>
                <w:bottom w:val="none" w:sz="0" w:space="0" w:color="auto"/>
                <w:right w:val="none" w:sz="0" w:space="0" w:color="auto"/>
              </w:divBdr>
            </w:div>
            <w:div w:id="1199202731">
              <w:marLeft w:val="0"/>
              <w:marRight w:val="0"/>
              <w:marTop w:val="72"/>
              <w:marBottom w:val="0"/>
              <w:divBdr>
                <w:top w:val="none" w:sz="0" w:space="0" w:color="auto"/>
                <w:left w:val="none" w:sz="0" w:space="0" w:color="auto"/>
                <w:bottom w:val="none" w:sz="0" w:space="0" w:color="auto"/>
                <w:right w:val="none" w:sz="0" w:space="0" w:color="auto"/>
              </w:divBdr>
              <w:divsChild>
                <w:div w:id="611400440">
                  <w:marLeft w:val="0"/>
                  <w:marRight w:val="0"/>
                  <w:marTop w:val="0"/>
                  <w:marBottom w:val="0"/>
                  <w:divBdr>
                    <w:top w:val="none" w:sz="0" w:space="0" w:color="auto"/>
                    <w:left w:val="none" w:sz="0" w:space="0" w:color="auto"/>
                    <w:bottom w:val="none" w:sz="0" w:space="0" w:color="auto"/>
                    <w:right w:val="none" w:sz="0" w:space="0" w:color="auto"/>
                  </w:divBdr>
                </w:div>
              </w:divsChild>
            </w:div>
            <w:div w:id="1491100251">
              <w:marLeft w:val="0"/>
              <w:marRight w:val="0"/>
              <w:marTop w:val="72"/>
              <w:marBottom w:val="0"/>
              <w:divBdr>
                <w:top w:val="none" w:sz="0" w:space="0" w:color="auto"/>
                <w:left w:val="none" w:sz="0" w:space="0" w:color="auto"/>
                <w:bottom w:val="none" w:sz="0" w:space="0" w:color="auto"/>
                <w:right w:val="none" w:sz="0" w:space="0" w:color="auto"/>
              </w:divBdr>
              <w:divsChild>
                <w:div w:id="204684004">
                  <w:marLeft w:val="0"/>
                  <w:marRight w:val="0"/>
                  <w:marTop w:val="0"/>
                  <w:marBottom w:val="0"/>
                  <w:divBdr>
                    <w:top w:val="none" w:sz="0" w:space="0" w:color="auto"/>
                    <w:left w:val="none" w:sz="0" w:space="0" w:color="auto"/>
                    <w:bottom w:val="none" w:sz="0" w:space="0" w:color="auto"/>
                    <w:right w:val="none" w:sz="0" w:space="0" w:color="auto"/>
                  </w:divBdr>
                </w:div>
              </w:divsChild>
            </w:div>
            <w:div w:id="1645423544">
              <w:marLeft w:val="0"/>
              <w:marRight w:val="0"/>
              <w:marTop w:val="72"/>
              <w:marBottom w:val="0"/>
              <w:divBdr>
                <w:top w:val="none" w:sz="0" w:space="0" w:color="auto"/>
                <w:left w:val="none" w:sz="0" w:space="0" w:color="auto"/>
                <w:bottom w:val="none" w:sz="0" w:space="0" w:color="auto"/>
                <w:right w:val="none" w:sz="0" w:space="0" w:color="auto"/>
              </w:divBdr>
              <w:divsChild>
                <w:div w:id="1766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4644">
      <w:bodyDiv w:val="1"/>
      <w:marLeft w:val="0"/>
      <w:marRight w:val="0"/>
      <w:marTop w:val="0"/>
      <w:marBottom w:val="0"/>
      <w:divBdr>
        <w:top w:val="none" w:sz="0" w:space="0" w:color="auto"/>
        <w:left w:val="none" w:sz="0" w:space="0" w:color="auto"/>
        <w:bottom w:val="none" w:sz="0" w:space="0" w:color="auto"/>
        <w:right w:val="none" w:sz="0" w:space="0" w:color="auto"/>
      </w:divBdr>
      <w:divsChild>
        <w:div w:id="1051154909">
          <w:marLeft w:val="0"/>
          <w:marRight w:val="0"/>
          <w:marTop w:val="0"/>
          <w:marBottom w:val="0"/>
          <w:divBdr>
            <w:top w:val="none" w:sz="0" w:space="0" w:color="auto"/>
            <w:left w:val="none" w:sz="0" w:space="0" w:color="auto"/>
            <w:bottom w:val="none" w:sz="0" w:space="0" w:color="auto"/>
            <w:right w:val="none" w:sz="0" w:space="0" w:color="auto"/>
          </w:divBdr>
        </w:div>
      </w:divsChild>
    </w:div>
    <w:div w:id="722756133">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none" w:sz="0" w:space="0" w:color="auto"/>
            <w:left w:val="none" w:sz="0" w:space="0" w:color="auto"/>
            <w:bottom w:val="none" w:sz="0" w:space="0" w:color="auto"/>
            <w:right w:val="none" w:sz="0" w:space="0" w:color="auto"/>
          </w:divBdr>
          <w:divsChild>
            <w:div w:id="831021256">
              <w:marLeft w:val="0"/>
              <w:marRight w:val="0"/>
              <w:marTop w:val="0"/>
              <w:marBottom w:val="0"/>
              <w:divBdr>
                <w:top w:val="none" w:sz="0" w:space="0" w:color="auto"/>
                <w:left w:val="none" w:sz="0" w:space="0" w:color="auto"/>
                <w:bottom w:val="none" w:sz="0" w:space="0" w:color="auto"/>
                <w:right w:val="none" w:sz="0" w:space="0" w:color="auto"/>
              </w:divBdr>
            </w:div>
            <w:div w:id="635183188">
              <w:marLeft w:val="0"/>
              <w:marRight w:val="0"/>
              <w:marTop w:val="0"/>
              <w:marBottom w:val="0"/>
              <w:divBdr>
                <w:top w:val="none" w:sz="0" w:space="0" w:color="auto"/>
                <w:left w:val="none" w:sz="0" w:space="0" w:color="auto"/>
                <w:bottom w:val="none" w:sz="0" w:space="0" w:color="auto"/>
                <w:right w:val="none" w:sz="0" w:space="0" w:color="auto"/>
              </w:divBdr>
              <w:divsChild>
                <w:div w:id="2079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913">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6">
          <w:marLeft w:val="0"/>
          <w:marRight w:val="0"/>
          <w:marTop w:val="0"/>
          <w:marBottom w:val="0"/>
          <w:divBdr>
            <w:top w:val="none" w:sz="0" w:space="0" w:color="auto"/>
            <w:left w:val="none" w:sz="0" w:space="0" w:color="auto"/>
            <w:bottom w:val="none" w:sz="0" w:space="0" w:color="auto"/>
            <w:right w:val="none" w:sz="0" w:space="0" w:color="auto"/>
          </w:divBdr>
        </w:div>
      </w:divsChild>
    </w:div>
    <w:div w:id="800344706">
      <w:bodyDiv w:val="1"/>
      <w:marLeft w:val="0"/>
      <w:marRight w:val="0"/>
      <w:marTop w:val="0"/>
      <w:marBottom w:val="0"/>
      <w:divBdr>
        <w:top w:val="none" w:sz="0" w:space="0" w:color="auto"/>
        <w:left w:val="none" w:sz="0" w:space="0" w:color="auto"/>
        <w:bottom w:val="none" w:sz="0" w:space="0" w:color="auto"/>
        <w:right w:val="none" w:sz="0" w:space="0" w:color="auto"/>
      </w:divBdr>
    </w:div>
    <w:div w:id="849753817">
      <w:bodyDiv w:val="1"/>
      <w:marLeft w:val="0"/>
      <w:marRight w:val="0"/>
      <w:marTop w:val="0"/>
      <w:marBottom w:val="0"/>
      <w:divBdr>
        <w:top w:val="none" w:sz="0" w:space="0" w:color="auto"/>
        <w:left w:val="none" w:sz="0" w:space="0" w:color="auto"/>
        <w:bottom w:val="none" w:sz="0" w:space="0" w:color="auto"/>
        <w:right w:val="none" w:sz="0" w:space="0" w:color="auto"/>
      </w:divBdr>
    </w:div>
    <w:div w:id="887185648">
      <w:bodyDiv w:val="1"/>
      <w:marLeft w:val="0"/>
      <w:marRight w:val="0"/>
      <w:marTop w:val="0"/>
      <w:marBottom w:val="0"/>
      <w:divBdr>
        <w:top w:val="none" w:sz="0" w:space="0" w:color="auto"/>
        <w:left w:val="none" w:sz="0" w:space="0" w:color="auto"/>
        <w:bottom w:val="none" w:sz="0" w:space="0" w:color="auto"/>
        <w:right w:val="none" w:sz="0" w:space="0" w:color="auto"/>
      </w:divBdr>
      <w:divsChild>
        <w:div w:id="164322408">
          <w:marLeft w:val="0"/>
          <w:marRight w:val="0"/>
          <w:marTop w:val="0"/>
          <w:marBottom w:val="0"/>
          <w:divBdr>
            <w:top w:val="none" w:sz="0" w:space="0" w:color="auto"/>
            <w:left w:val="none" w:sz="0" w:space="0" w:color="auto"/>
            <w:bottom w:val="none" w:sz="0" w:space="0" w:color="auto"/>
            <w:right w:val="none" w:sz="0" w:space="0" w:color="auto"/>
          </w:divBdr>
        </w:div>
      </w:divsChild>
    </w:div>
    <w:div w:id="929847448">
      <w:bodyDiv w:val="1"/>
      <w:marLeft w:val="0"/>
      <w:marRight w:val="0"/>
      <w:marTop w:val="0"/>
      <w:marBottom w:val="0"/>
      <w:divBdr>
        <w:top w:val="none" w:sz="0" w:space="0" w:color="auto"/>
        <w:left w:val="none" w:sz="0" w:space="0" w:color="auto"/>
        <w:bottom w:val="none" w:sz="0" w:space="0" w:color="auto"/>
        <w:right w:val="none" w:sz="0" w:space="0" w:color="auto"/>
      </w:divBdr>
      <w:divsChild>
        <w:div w:id="2065785497">
          <w:marLeft w:val="0"/>
          <w:marRight w:val="0"/>
          <w:marTop w:val="0"/>
          <w:marBottom w:val="0"/>
          <w:divBdr>
            <w:top w:val="none" w:sz="0" w:space="0" w:color="auto"/>
            <w:left w:val="none" w:sz="0" w:space="0" w:color="auto"/>
            <w:bottom w:val="none" w:sz="0" w:space="0" w:color="auto"/>
            <w:right w:val="none" w:sz="0" w:space="0" w:color="auto"/>
          </w:divBdr>
        </w:div>
      </w:divsChild>
    </w:div>
    <w:div w:id="949051485">
      <w:bodyDiv w:val="1"/>
      <w:marLeft w:val="0"/>
      <w:marRight w:val="0"/>
      <w:marTop w:val="0"/>
      <w:marBottom w:val="0"/>
      <w:divBdr>
        <w:top w:val="none" w:sz="0" w:space="0" w:color="auto"/>
        <w:left w:val="none" w:sz="0" w:space="0" w:color="auto"/>
        <w:bottom w:val="none" w:sz="0" w:space="0" w:color="auto"/>
        <w:right w:val="none" w:sz="0" w:space="0" w:color="auto"/>
      </w:divBdr>
      <w:divsChild>
        <w:div w:id="1027294077">
          <w:marLeft w:val="0"/>
          <w:marRight w:val="0"/>
          <w:marTop w:val="0"/>
          <w:marBottom w:val="0"/>
          <w:divBdr>
            <w:top w:val="none" w:sz="0" w:space="0" w:color="auto"/>
            <w:left w:val="none" w:sz="0" w:space="0" w:color="auto"/>
            <w:bottom w:val="none" w:sz="0" w:space="0" w:color="auto"/>
            <w:right w:val="none" w:sz="0" w:space="0" w:color="auto"/>
          </w:divBdr>
        </w:div>
      </w:divsChild>
    </w:div>
    <w:div w:id="1023362174">
      <w:bodyDiv w:val="1"/>
      <w:marLeft w:val="0"/>
      <w:marRight w:val="0"/>
      <w:marTop w:val="0"/>
      <w:marBottom w:val="0"/>
      <w:divBdr>
        <w:top w:val="none" w:sz="0" w:space="0" w:color="auto"/>
        <w:left w:val="none" w:sz="0" w:space="0" w:color="auto"/>
        <w:bottom w:val="none" w:sz="0" w:space="0" w:color="auto"/>
        <w:right w:val="none" w:sz="0" w:space="0" w:color="auto"/>
      </w:divBdr>
      <w:divsChild>
        <w:div w:id="1265386345">
          <w:marLeft w:val="0"/>
          <w:marRight w:val="0"/>
          <w:marTop w:val="0"/>
          <w:marBottom w:val="0"/>
          <w:divBdr>
            <w:top w:val="none" w:sz="0" w:space="0" w:color="auto"/>
            <w:left w:val="none" w:sz="0" w:space="0" w:color="auto"/>
            <w:bottom w:val="none" w:sz="0" w:space="0" w:color="auto"/>
            <w:right w:val="none" w:sz="0" w:space="0" w:color="auto"/>
          </w:divBdr>
        </w:div>
      </w:divsChild>
    </w:div>
    <w:div w:id="1094321061">
      <w:bodyDiv w:val="1"/>
      <w:marLeft w:val="0"/>
      <w:marRight w:val="0"/>
      <w:marTop w:val="0"/>
      <w:marBottom w:val="0"/>
      <w:divBdr>
        <w:top w:val="none" w:sz="0" w:space="0" w:color="auto"/>
        <w:left w:val="none" w:sz="0" w:space="0" w:color="auto"/>
        <w:bottom w:val="none" w:sz="0" w:space="0" w:color="auto"/>
        <w:right w:val="none" w:sz="0" w:space="0" w:color="auto"/>
      </w:divBdr>
      <w:divsChild>
        <w:div w:id="1380592935">
          <w:marLeft w:val="0"/>
          <w:marRight w:val="0"/>
          <w:marTop w:val="0"/>
          <w:marBottom w:val="0"/>
          <w:divBdr>
            <w:top w:val="none" w:sz="0" w:space="0" w:color="auto"/>
            <w:left w:val="none" w:sz="0" w:space="0" w:color="auto"/>
            <w:bottom w:val="none" w:sz="0" w:space="0" w:color="auto"/>
            <w:right w:val="none" w:sz="0" w:space="0" w:color="auto"/>
          </w:divBdr>
        </w:div>
      </w:divsChild>
    </w:div>
    <w:div w:id="1099251815">
      <w:bodyDiv w:val="1"/>
      <w:marLeft w:val="0"/>
      <w:marRight w:val="0"/>
      <w:marTop w:val="0"/>
      <w:marBottom w:val="0"/>
      <w:divBdr>
        <w:top w:val="none" w:sz="0" w:space="0" w:color="auto"/>
        <w:left w:val="none" w:sz="0" w:space="0" w:color="auto"/>
        <w:bottom w:val="none" w:sz="0" w:space="0" w:color="auto"/>
        <w:right w:val="none" w:sz="0" w:space="0" w:color="auto"/>
      </w:divBdr>
      <w:divsChild>
        <w:div w:id="1359816735">
          <w:marLeft w:val="0"/>
          <w:marRight w:val="0"/>
          <w:marTop w:val="0"/>
          <w:marBottom w:val="0"/>
          <w:divBdr>
            <w:top w:val="none" w:sz="0" w:space="0" w:color="auto"/>
            <w:left w:val="none" w:sz="0" w:space="0" w:color="auto"/>
            <w:bottom w:val="none" w:sz="0" w:space="0" w:color="auto"/>
            <w:right w:val="none" w:sz="0" w:space="0" w:color="auto"/>
          </w:divBdr>
          <w:divsChild>
            <w:div w:id="1240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0874">
      <w:bodyDiv w:val="1"/>
      <w:marLeft w:val="0"/>
      <w:marRight w:val="0"/>
      <w:marTop w:val="0"/>
      <w:marBottom w:val="0"/>
      <w:divBdr>
        <w:top w:val="none" w:sz="0" w:space="0" w:color="auto"/>
        <w:left w:val="none" w:sz="0" w:space="0" w:color="auto"/>
        <w:bottom w:val="none" w:sz="0" w:space="0" w:color="auto"/>
        <w:right w:val="none" w:sz="0" w:space="0" w:color="auto"/>
      </w:divBdr>
      <w:divsChild>
        <w:div w:id="885876491">
          <w:marLeft w:val="0"/>
          <w:marRight w:val="0"/>
          <w:marTop w:val="0"/>
          <w:marBottom w:val="0"/>
          <w:divBdr>
            <w:top w:val="none" w:sz="0" w:space="0" w:color="auto"/>
            <w:left w:val="none" w:sz="0" w:space="0" w:color="auto"/>
            <w:bottom w:val="none" w:sz="0" w:space="0" w:color="auto"/>
            <w:right w:val="none" w:sz="0" w:space="0" w:color="auto"/>
          </w:divBdr>
        </w:div>
      </w:divsChild>
    </w:div>
    <w:div w:id="1206603691">
      <w:bodyDiv w:val="1"/>
      <w:marLeft w:val="0"/>
      <w:marRight w:val="0"/>
      <w:marTop w:val="0"/>
      <w:marBottom w:val="0"/>
      <w:divBdr>
        <w:top w:val="none" w:sz="0" w:space="0" w:color="auto"/>
        <w:left w:val="none" w:sz="0" w:space="0" w:color="auto"/>
        <w:bottom w:val="none" w:sz="0" w:space="0" w:color="auto"/>
        <w:right w:val="none" w:sz="0" w:space="0" w:color="auto"/>
      </w:divBdr>
    </w:div>
    <w:div w:id="1223635483">
      <w:bodyDiv w:val="1"/>
      <w:marLeft w:val="0"/>
      <w:marRight w:val="0"/>
      <w:marTop w:val="0"/>
      <w:marBottom w:val="0"/>
      <w:divBdr>
        <w:top w:val="none" w:sz="0" w:space="0" w:color="auto"/>
        <w:left w:val="none" w:sz="0" w:space="0" w:color="auto"/>
        <w:bottom w:val="none" w:sz="0" w:space="0" w:color="auto"/>
        <w:right w:val="none" w:sz="0" w:space="0" w:color="auto"/>
      </w:divBdr>
    </w:div>
    <w:div w:id="1268469706">
      <w:bodyDiv w:val="1"/>
      <w:marLeft w:val="0"/>
      <w:marRight w:val="0"/>
      <w:marTop w:val="0"/>
      <w:marBottom w:val="0"/>
      <w:divBdr>
        <w:top w:val="none" w:sz="0" w:space="0" w:color="auto"/>
        <w:left w:val="none" w:sz="0" w:space="0" w:color="auto"/>
        <w:bottom w:val="none" w:sz="0" w:space="0" w:color="auto"/>
        <w:right w:val="none" w:sz="0" w:space="0" w:color="auto"/>
      </w:divBdr>
    </w:div>
    <w:div w:id="1288703183">
      <w:bodyDiv w:val="1"/>
      <w:marLeft w:val="0"/>
      <w:marRight w:val="0"/>
      <w:marTop w:val="0"/>
      <w:marBottom w:val="0"/>
      <w:divBdr>
        <w:top w:val="none" w:sz="0" w:space="0" w:color="auto"/>
        <w:left w:val="none" w:sz="0" w:space="0" w:color="auto"/>
        <w:bottom w:val="none" w:sz="0" w:space="0" w:color="auto"/>
        <w:right w:val="none" w:sz="0" w:space="0" w:color="auto"/>
      </w:divBdr>
    </w:div>
    <w:div w:id="1327589228">
      <w:bodyDiv w:val="1"/>
      <w:marLeft w:val="0"/>
      <w:marRight w:val="0"/>
      <w:marTop w:val="0"/>
      <w:marBottom w:val="0"/>
      <w:divBdr>
        <w:top w:val="none" w:sz="0" w:space="0" w:color="auto"/>
        <w:left w:val="none" w:sz="0" w:space="0" w:color="auto"/>
        <w:bottom w:val="none" w:sz="0" w:space="0" w:color="auto"/>
        <w:right w:val="none" w:sz="0" w:space="0" w:color="auto"/>
      </w:divBdr>
      <w:divsChild>
        <w:div w:id="904267358">
          <w:marLeft w:val="0"/>
          <w:marRight w:val="0"/>
          <w:marTop w:val="0"/>
          <w:marBottom w:val="0"/>
          <w:divBdr>
            <w:top w:val="none" w:sz="0" w:space="0" w:color="auto"/>
            <w:left w:val="none" w:sz="0" w:space="0" w:color="auto"/>
            <w:bottom w:val="none" w:sz="0" w:space="0" w:color="auto"/>
            <w:right w:val="none" w:sz="0" w:space="0" w:color="auto"/>
          </w:divBdr>
        </w:div>
      </w:divsChild>
    </w:div>
    <w:div w:id="1392578043">
      <w:bodyDiv w:val="1"/>
      <w:marLeft w:val="0"/>
      <w:marRight w:val="0"/>
      <w:marTop w:val="0"/>
      <w:marBottom w:val="0"/>
      <w:divBdr>
        <w:top w:val="none" w:sz="0" w:space="0" w:color="auto"/>
        <w:left w:val="none" w:sz="0" w:space="0" w:color="auto"/>
        <w:bottom w:val="none" w:sz="0" w:space="0" w:color="auto"/>
        <w:right w:val="none" w:sz="0" w:space="0" w:color="auto"/>
      </w:divBdr>
    </w:div>
    <w:div w:id="1490361019">
      <w:bodyDiv w:val="1"/>
      <w:marLeft w:val="0"/>
      <w:marRight w:val="0"/>
      <w:marTop w:val="0"/>
      <w:marBottom w:val="0"/>
      <w:divBdr>
        <w:top w:val="none" w:sz="0" w:space="0" w:color="auto"/>
        <w:left w:val="none" w:sz="0" w:space="0" w:color="auto"/>
        <w:bottom w:val="none" w:sz="0" w:space="0" w:color="auto"/>
        <w:right w:val="none" w:sz="0" w:space="0" w:color="auto"/>
      </w:divBdr>
      <w:divsChild>
        <w:div w:id="224340331">
          <w:marLeft w:val="0"/>
          <w:marRight w:val="0"/>
          <w:marTop w:val="240"/>
          <w:marBottom w:val="0"/>
          <w:divBdr>
            <w:top w:val="none" w:sz="0" w:space="0" w:color="auto"/>
            <w:left w:val="none" w:sz="0" w:space="0" w:color="auto"/>
            <w:bottom w:val="none" w:sz="0" w:space="0" w:color="auto"/>
            <w:right w:val="none" w:sz="0" w:space="0" w:color="auto"/>
          </w:divBdr>
        </w:div>
        <w:div w:id="2064525884">
          <w:marLeft w:val="0"/>
          <w:marRight w:val="0"/>
          <w:marTop w:val="240"/>
          <w:marBottom w:val="0"/>
          <w:divBdr>
            <w:top w:val="none" w:sz="0" w:space="0" w:color="auto"/>
            <w:left w:val="none" w:sz="0" w:space="0" w:color="auto"/>
            <w:bottom w:val="none" w:sz="0" w:space="0" w:color="auto"/>
            <w:right w:val="none" w:sz="0" w:space="0" w:color="auto"/>
          </w:divBdr>
        </w:div>
      </w:divsChild>
    </w:div>
    <w:div w:id="1491210326">
      <w:bodyDiv w:val="1"/>
      <w:marLeft w:val="0"/>
      <w:marRight w:val="0"/>
      <w:marTop w:val="0"/>
      <w:marBottom w:val="0"/>
      <w:divBdr>
        <w:top w:val="none" w:sz="0" w:space="0" w:color="auto"/>
        <w:left w:val="none" w:sz="0" w:space="0" w:color="auto"/>
        <w:bottom w:val="none" w:sz="0" w:space="0" w:color="auto"/>
        <w:right w:val="none" w:sz="0" w:space="0" w:color="auto"/>
      </w:divBdr>
      <w:divsChild>
        <w:div w:id="140008157">
          <w:marLeft w:val="0"/>
          <w:marRight w:val="0"/>
          <w:marTop w:val="480"/>
          <w:marBottom w:val="0"/>
          <w:divBdr>
            <w:top w:val="none" w:sz="0" w:space="0" w:color="auto"/>
            <w:left w:val="none" w:sz="0" w:space="0" w:color="auto"/>
            <w:bottom w:val="none" w:sz="0" w:space="0" w:color="auto"/>
            <w:right w:val="none" w:sz="0" w:space="0" w:color="auto"/>
          </w:divBdr>
          <w:divsChild>
            <w:div w:id="227110976">
              <w:marLeft w:val="0"/>
              <w:marRight w:val="0"/>
              <w:marTop w:val="240"/>
              <w:marBottom w:val="0"/>
              <w:divBdr>
                <w:top w:val="none" w:sz="0" w:space="0" w:color="auto"/>
                <w:left w:val="none" w:sz="0" w:space="0" w:color="auto"/>
                <w:bottom w:val="none" w:sz="0" w:space="0" w:color="auto"/>
                <w:right w:val="none" w:sz="0" w:space="0" w:color="auto"/>
              </w:divBdr>
            </w:div>
            <w:div w:id="1769275539">
              <w:marLeft w:val="0"/>
              <w:marRight w:val="0"/>
              <w:marTop w:val="240"/>
              <w:marBottom w:val="0"/>
              <w:divBdr>
                <w:top w:val="none" w:sz="0" w:space="0" w:color="auto"/>
                <w:left w:val="none" w:sz="0" w:space="0" w:color="auto"/>
                <w:bottom w:val="none" w:sz="0" w:space="0" w:color="auto"/>
                <w:right w:val="none" w:sz="0" w:space="0" w:color="auto"/>
              </w:divBdr>
            </w:div>
          </w:divsChild>
        </w:div>
        <w:div w:id="1638533395">
          <w:marLeft w:val="0"/>
          <w:marRight w:val="0"/>
          <w:marTop w:val="240"/>
          <w:marBottom w:val="240"/>
          <w:divBdr>
            <w:top w:val="none" w:sz="0" w:space="0" w:color="auto"/>
            <w:left w:val="none" w:sz="0" w:space="0" w:color="auto"/>
            <w:bottom w:val="none" w:sz="0" w:space="0" w:color="auto"/>
            <w:right w:val="none" w:sz="0" w:space="0" w:color="auto"/>
          </w:divBdr>
        </w:div>
        <w:div w:id="1586954979">
          <w:marLeft w:val="0"/>
          <w:marRight w:val="0"/>
          <w:marTop w:val="240"/>
          <w:marBottom w:val="0"/>
          <w:divBdr>
            <w:top w:val="none" w:sz="0" w:space="0" w:color="auto"/>
            <w:left w:val="none" w:sz="0" w:space="0" w:color="auto"/>
            <w:bottom w:val="none" w:sz="0" w:space="0" w:color="auto"/>
            <w:right w:val="none" w:sz="0" w:space="0" w:color="auto"/>
          </w:divBdr>
          <w:divsChild>
            <w:div w:id="826357062">
              <w:marLeft w:val="0"/>
              <w:marRight w:val="0"/>
              <w:marTop w:val="72"/>
              <w:marBottom w:val="240"/>
              <w:divBdr>
                <w:top w:val="none" w:sz="0" w:space="0" w:color="auto"/>
                <w:left w:val="none" w:sz="0" w:space="0" w:color="auto"/>
                <w:bottom w:val="none" w:sz="0" w:space="0" w:color="auto"/>
                <w:right w:val="none" w:sz="0" w:space="0" w:color="auto"/>
              </w:divBdr>
              <w:divsChild>
                <w:div w:id="394473233">
                  <w:marLeft w:val="0"/>
                  <w:marRight w:val="0"/>
                  <w:marTop w:val="0"/>
                  <w:marBottom w:val="0"/>
                  <w:divBdr>
                    <w:top w:val="none" w:sz="0" w:space="0" w:color="auto"/>
                    <w:left w:val="none" w:sz="0" w:space="0" w:color="auto"/>
                    <w:bottom w:val="none" w:sz="0" w:space="0" w:color="auto"/>
                    <w:right w:val="none" w:sz="0" w:space="0" w:color="auto"/>
                  </w:divBdr>
                </w:div>
                <w:div w:id="1277567494">
                  <w:marLeft w:val="0"/>
                  <w:marRight w:val="0"/>
                  <w:marTop w:val="72"/>
                  <w:marBottom w:val="0"/>
                  <w:divBdr>
                    <w:top w:val="none" w:sz="0" w:space="0" w:color="auto"/>
                    <w:left w:val="none" w:sz="0" w:space="0" w:color="auto"/>
                    <w:bottom w:val="none" w:sz="0" w:space="0" w:color="auto"/>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
                  </w:divsChild>
                </w:div>
                <w:div w:id="1469736231">
                  <w:marLeft w:val="0"/>
                  <w:marRight w:val="0"/>
                  <w:marTop w:val="72"/>
                  <w:marBottom w:val="0"/>
                  <w:divBdr>
                    <w:top w:val="none" w:sz="0" w:space="0" w:color="auto"/>
                    <w:left w:val="none" w:sz="0" w:space="0" w:color="auto"/>
                    <w:bottom w:val="none" w:sz="0" w:space="0" w:color="auto"/>
                    <w:right w:val="none" w:sz="0" w:space="0" w:color="auto"/>
                  </w:divBdr>
                  <w:divsChild>
                    <w:div w:id="1483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9721">
              <w:marLeft w:val="0"/>
              <w:marRight w:val="0"/>
              <w:marTop w:val="72"/>
              <w:marBottom w:val="240"/>
              <w:divBdr>
                <w:top w:val="none" w:sz="0" w:space="0" w:color="auto"/>
                <w:left w:val="none" w:sz="0" w:space="0" w:color="auto"/>
                <w:bottom w:val="none" w:sz="0" w:space="0" w:color="auto"/>
                <w:right w:val="none" w:sz="0" w:space="0" w:color="auto"/>
              </w:divBdr>
              <w:divsChild>
                <w:div w:id="1751655313">
                  <w:marLeft w:val="0"/>
                  <w:marRight w:val="0"/>
                  <w:marTop w:val="0"/>
                  <w:marBottom w:val="0"/>
                  <w:divBdr>
                    <w:top w:val="none" w:sz="0" w:space="0" w:color="auto"/>
                    <w:left w:val="none" w:sz="0" w:space="0" w:color="auto"/>
                    <w:bottom w:val="none" w:sz="0" w:space="0" w:color="auto"/>
                    <w:right w:val="none" w:sz="0" w:space="0" w:color="auto"/>
                  </w:divBdr>
                </w:div>
                <w:div w:id="1898275975">
                  <w:marLeft w:val="0"/>
                  <w:marRight w:val="0"/>
                  <w:marTop w:val="72"/>
                  <w:marBottom w:val="0"/>
                  <w:divBdr>
                    <w:top w:val="none" w:sz="0" w:space="0" w:color="auto"/>
                    <w:left w:val="none" w:sz="0" w:space="0" w:color="auto"/>
                    <w:bottom w:val="none" w:sz="0" w:space="0" w:color="auto"/>
                    <w:right w:val="none" w:sz="0" w:space="0" w:color="auto"/>
                  </w:divBdr>
                  <w:divsChild>
                    <w:div w:id="2063089251">
                      <w:marLeft w:val="0"/>
                      <w:marRight w:val="0"/>
                      <w:marTop w:val="0"/>
                      <w:marBottom w:val="0"/>
                      <w:divBdr>
                        <w:top w:val="none" w:sz="0" w:space="0" w:color="auto"/>
                        <w:left w:val="none" w:sz="0" w:space="0" w:color="auto"/>
                        <w:bottom w:val="none" w:sz="0" w:space="0" w:color="auto"/>
                        <w:right w:val="none" w:sz="0" w:space="0" w:color="auto"/>
                      </w:divBdr>
                    </w:div>
                  </w:divsChild>
                </w:div>
                <w:div w:id="1757823983">
                  <w:marLeft w:val="0"/>
                  <w:marRight w:val="0"/>
                  <w:marTop w:val="72"/>
                  <w:marBottom w:val="0"/>
                  <w:divBdr>
                    <w:top w:val="none" w:sz="0" w:space="0" w:color="auto"/>
                    <w:left w:val="none" w:sz="0" w:space="0" w:color="auto"/>
                    <w:bottom w:val="none" w:sz="0" w:space="0" w:color="auto"/>
                    <w:right w:val="none" w:sz="0" w:space="0" w:color="auto"/>
                  </w:divBdr>
                  <w:divsChild>
                    <w:div w:id="5953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44">
              <w:marLeft w:val="0"/>
              <w:marRight w:val="0"/>
              <w:marTop w:val="72"/>
              <w:marBottom w:val="240"/>
              <w:divBdr>
                <w:top w:val="none" w:sz="0" w:space="0" w:color="auto"/>
                <w:left w:val="none" w:sz="0" w:space="0" w:color="auto"/>
                <w:bottom w:val="none" w:sz="0" w:space="0" w:color="auto"/>
                <w:right w:val="none" w:sz="0" w:space="0" w:color="auto"/>
              </w:divBdr>
              <w:divsChild>
                <w:div w:id="1847285165">
                  <w:marLeft w:val="0"/>
                  <w:marRight w:val="0"/>
                  <w:marTop w:val="0"/>
                  <w:marBottom w:val="0"/>
                  <w:divBdr>
                    <w:top w:val="none" w:sz="0" w:space="0" w:color="auto"/>
                    <w:left w:val="none" w:sz="0" w:space="0" w:color="auto"/>
                    <w:bottom w:val="none" w:sz="0" w:space="0" w:color="auto"/>
                    <w:right w:val="none" w:sz="0" w:space="0" w:color="auto"/>
                  </w:divBdr>
                </w:div>
                <w:div w:id="113251930">
                  <w:marLeft w:val="0"/>
                  <w:marRight w:val="0"/>
                  <w:marTop w:val="72"/>
                  <w:marBottom w:val="0"/>
                  <w:divBdr>
                    <w:top w:val="none" w:sz="0" w:space="0" w:color="auto"/>
                    <w:left w:val="none" w:sz="0" w:space="0" w:color="auto"/>
                    <w:bottom w:val="none" w:sz="0" w:space="0" w:color="auto"/>
                    <w:right w:val="none" w:sz="0" w:space="0" w:color="auto"/>
                  </w:divBdr>
                  <w:divsChild>
                    <w:div w:id="1639411233">
                      <w:marLeft w:val="0"/>
                      <w:marRight w:val="0"/>
                      <w:marTop w:val="0"/>
                      <w:marBottom w:val="0"/>
                      <w:divBdr>
                        <w:top w:val="none" w:sz="0" w:space="0" w:color="auto"/>
                        <w:left w:val="none" w:sz="0" w:space="0" w:color="auto"/>
                        <w:bottom w:val="none" w:sz="0" w:space="0" w:color="auto"/>
                        <w:right w:val="none" w:sz="0" w:space="0" w:color="auto"/>
                      </w:divBdr>
                    </w:div>
                  </w:divsChild>
                </w:div>
                <w:div w:id="588076417">
                  <w:marLeft w:val="0"/>
                  <w:marRight w:val="0"/>
                  <w:marTop w:val="72"/>
                  <w:marBottom w:val="0"/>
                  <w:divBdr>
                    <w:top w:val="none" w:sz="0" w:space="0" w:color="auto"/>
                    <w:left w:val="none" w:sz="0" w:space="0" w:color="auto"/>
                    <w:bottom w:val="none" w:sz="0" w:space="0" w:color="auto"/>
                    <w:right w:val="none" w:sz="0" w:space="0" w:color="auto"/>
                  </w:divBdr>
                  <w:divsChild>
                    <w:div w:id="93210246">
                      <w:marLeft w:val="0"/>
                      <w:marRight w:val="0"/>
                      <w:marTop w:val="0"/>
                      <w:marBottom w:val="0"/>
                      <w:divBdr>
                        <w:top w:val="none" w:sz="0" w:space="0" w:color="auto"/>
                        <w:left w:val="none" w:sz="0" w:space="0" w:color="auto"/>
                        <w:bottom w:val="none" w:sz="0" w:space="0" w:color="auto"/>
                        <w:right w:val="none" w:sz="0" w:space="0" w:color="auto"/>
                      </w:divBdr>
                    </w:div>
                  </w:divsChild>
                </w:div>
                <w:div w:id="158549180">
                  <w:marLeft w:val="0"/>
                  <w:marRight w:val="0"/>
                  <w:marTop w:val="72"/>
                  <w:marBottom w:val="0"/>
                  <w:divBdr>
                    <w:top w:val="none" w:sz="0" w:space="0" w:color="auto"/>
                    <w:left w:val="none" w:sz="0" w:space="0" w:color="auto"/>
                    <w:bottom w:val="none" w:sz="0" w:space="0" w:color="auto"/>
                    <w:right w:val="none" w:sz="0" w:space="0" w:color="auto"/>
                  </w:divBdr>
                  <w:divsChild>
                    <w:div w:id="13121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671">
              <w:marLeft w:val="0"/>
              <w:marRight w:val="0"/>
              <w:marTop w:val="72"/>
              <w:marBottom w:val="240"/>
              <w:divBdr>
                <w:top w:val="none" w:sz="0" w:space="0" w:color="auto"/>
                <w:left w:val="none" w:sz="0" w:space="0" w:color="auto"/>
                <w:bottom w:val="none" w:sz="0" w:space="0" w:color="auto"/>
                <w:right w:val="none" w:sz="0" w:space="0" w:color="auto"/>
              </w:divBdr>
              <w:divsChild>
                <w:div w:id="916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6151">
      <w:bodyDiv w:val="1"/>
      <w:marLeft w:val="0"/>
      <w:marRight w:val="0"/>
      <w:marTop w:val="0"/>
      <w:marBottom w:val="0"/>
      <w:divBdr>
        <w:top w:val="none" w:sz="0" w:space="0" w:color="auto"/>
        <w:left w:val="none" w:sz="0" w:space="0" w:color="auto"/>
        <w:bottom w:val="none" w:sz="0" w:space="0" w:color="auto"/>
        <w:right w:val="none" w:sz="0" w:space="0" w:color="auto"/>
      </w:divBdr>
    </w:div>
    <w:div w:id="1591935030">
      <w:bodyDiv w:val="1"/>
      <w:marLeft w:val="0"/>
      <w:marRight w:val="0"/>
      <w:marTop w:val="0"/>
      <w:marBottom w:val="0"/>
      <w:divBdr>
        <w:top w:val="none" w:sz="0" w:space="0" w:color="auto"/>
        <w:left w:val="none" w:sz="0" w:space="0" w:color="auto"/>
        <w:bottom w:val="none" w:sz="0" w:space="0" w:color="auto"/>
        <w:right w:val="none" w:sz="0" w:space="0" w:color="auto"/>
      </w:divBdr>
      <w:divsChild>
        <w:div w:id="1016538661">
          <w:marLeft w:val="0"/>
          <w:marRight w:val="0"/>
          <w:marTop w:val="0"/>
          <w:marBottom w:val="0"/>
          <w:divBdr>
            <w:top w:val="none" w:sz="0" w:space="0" w:color="auto"/>
            <w:left w:val="none" w:sz="0" w:space="0" w:color="auto"/>
            <w:bottom w:val="none" w:sz="0" w:space="0" w:color="auto"/>
            <w:right w:val="none" w:sz="0" w:space="0" w:color="auto"/>
          </w:divBdr>
        </w:div>
      </w:divsChild>
    </w:div>
    <w:div w:id="1644774333">
      <w:bodyDiv w:val="1"/>
      <w:marLeft w:val="0"/>
      <w:marRight w:val="0"/>
      <w:marTop w:val="0"/>
      <w:marBottom w:val="0"/>
      <w:divBdr>
        <w:top w:val="none" w:sz="0" w:space="0" w:color="auto"/>
        <w:left w:val="none" w:sz="0" w:space="0" w:color="auto"/>
        <w:bottom w:val="none" w:sz="0" w:space="0" w:color="auto"/>
        <w:right w:val="none" w:sz="0" w:space="0" w:color="auto"/>
      </w:divBdr>
      <w:divsChild>
        <w:div w:id="565073110">
          <w:marLeft w:val="0"/>
          <w:marRight w:val="0"/>
          <w:marTop w:val="480"/>
          <w:marBottom w:val="0"/>
          <w:divBdr>
            <w:top w:val="none" w:sz="0" w:space="0" w:color="auto"/>
            <w:left w:val="none" w:sz="0" w:space="0" w:color="auto"/>
            <w:bottom w:val="none" w:sz="0" w:space="0" w:color="auto"/>
            <w:right w:val="none" w:sz="0" w:space="0" w:color="auto"/>
          </w:divBdr>
          <w:divsChild>
            <w:div w:id="1993681412">
              <w:marLeft w:val="0"/>
              <w:marRight w:val="0"/>
              <w:marTop w:val="240"/>
              <w:marBottom w:val="0"/>
              <w:divBdr>
                <w:top w:val="none" w:sz="0" w:space="0" w:color="auto"/>
                <w:left w:val="none" w:sz="0" w:space="0" w:color="auto"/>
                <w:bottom w:val="none" w:sz="0" w:space="0" w:color="auto"/>
                <w:right w:val="none" w:sz="0" w:space="0" w:color="auto"/>
              </w:divBdr>
            </w:div>
            <w:div w:id="1574045253">
              <w:marLeft w:val="0"/>
              <w:marRight w:val="0"/>
              <w:marTop w:val="240"/>
              <w:marBottom w:val="0"/>
              <w:divBdr>
                <w:top w:val="none" w:sz="0" w:space="0" w:color="auto"/>
                <w:left w:val="none" w:sz="0" w:space="0" w:color="auto"/>
                <w:bottom w:val="none" w:sz="0" w:space="0" w:color="auto"/>
                <w:right w:val="none" w:sz="0" w:space="0" w:color="auto"/>
              </w:divBdr>
            </w:div>
          </w:divsChild>
        </w:div>
        <w:div w:id="718364284">
          <w:marLeft w:val="0"/>
          <w:marRight w:val="0"/>
          <w:marTop w:val="240"/>
          <w:marBottom w:val="240"/>
          <w:divBdr>
            <w:top w:val="none" w:sz="0" w:space="0" w:color="auto"/>
            <w:left w:val="none" w:sz="0" w:space="0" w:color="auto"/>
            <w:bottom w:val="none" w:sz="0" w:space="0" w:color="auto"/>
            <w:right w:val="none" w:sz="0" w:space="0" w:color="auto"/>
          </w:divBdr>
        </w:div>
        <w:div w:id="803617722">
          <w:marLeft w:val="0"/>
          <w:marRight w:val="0"/>
          <w:marTop w:val="240"/>
          <w:marBottom w:val="0"/>
          <w:divBdr>
            <w:top w:val="none" w:sz="0" w:space="0" w:color="auto"/>
            <w:left w:val="none" w:sz="0" w:space="0" w:color="auto"/>
            <w:bottom w:val="none" w:sz="0" w:space="0" w:color="auto"/>
            <w:right w:val="none" w:sz="0" w:space="0" w:color="auto"/>
          </w:divBdr>
          <w:divsChild>
            <w:div w:id="2138719462">
              <w:marLeft w:val="0"/>
              <w:marRight w:val="0"/>
              <w:marTop w:val="72"/>
              <w:marBottom w:val="240"/>
              <w:divBdr>
                <w:top w:val="none" w:sz="0" w:space="0" w:color="auto"/>
                <w:left w:val="none" w:sz="0" w:space="0" w:color="auto"/>
                <w:bottom w:val="none" w:sz="0" w:space="0" w:color="auto"/>
                <w:right w:val="none" w:sz="0" w:space="0" w:color="auto"/>
              </w:divBdr>
              <w:divsChild>
                <w:div w:id="1765104247">
                  <w:marLeft w:val="0"/>
                  <w:marRight w:val="0"/>
                  <w:marTop w:val="0"/>
                  <w:marBottom w:val="0"/>
                  <w:divBdr>
                    <w:top w:val="none" w:sz="0" w:space="0" w:color="auto"/>
                    <w:left w:val="none" w:sz="0" w:space="0" w:color="auto"/>
                    <w:bottom w:val="none" w:sz="0" w:space="0" w:color="auto"/>
                    <w:right w:val="none" w:sz="0" w:space="0" w:color="auto"/>
                  </w:divBdr>
                </w:div>
                <w:div w:id="1848129985">
                  <w:marLeft w:val="0"/>
                  <w:marRight w:val="0"/>
                  <w:marTop w:val="72"/>
                  <w:marBottom w:val="0"/>
                  <w:divBdr>
                    <w:top w:val="none" w:sz="0" w:space="0" w:color="auto"/>
                    <w:left w:val="none" w:sz="0" w:space="0" w:color="auto"/>
                    <w:bottom w:val="none" w:sz="0" w:space="0" w:color="auto"/>
                    <w:right w:val="none" w:sz="0" w:space="0" w:color="auto"/>
                  </w:divBdr>
                  <w:divsChild>
                    <w:div w:id="698629529">
                      <w:marLeft w:val="0"/>
                      <w:marRight w:val="0"/>
                      <w:marTop w:val="0"/>
                      <w:marBottom w:val="0"/>
                      <w:divBdr>
                        <w:top w:val="none" w:sz="0" w:space="0" w:color="auto"/>
                        <w:left w:val="none" w:sz="0" w:space="0" w:color="auto"/>
                        <w:bottom w:val="none" w:sz="0" w:space="0" w:color="auto"/>
                        <w:right w:val="none" w:sz="0" w:space="0" w:color="auto"/>
                      </w:divBdr>
                    </w:div>
                    <w:div w:id="881210713">
                      <w:marLeft w:val="360"/>
                      <w:marRight w:val="0"/>
                      <w:marTop w:val="72"/>
                      <w:marBottom w:val="72"/>
                      <w:divBdr>
                        <w:top w:val="none" w:sz="0" w:space="0" w:color="auto"/>
                        <w:left w:val="none" w:sz="0" w:space="0" w:color="auto"/>
                        <w:bottom w:val="none" w:sz="0" w:space="0" w:color="auto"/>
                        <w:right w:val="none" w:sz="0" w:space="0" w:color="auto"/>
                      </w:divBdr>
                      <w:divsChild>
                        <w:div w:id="639304882">
                          <w:marLeft w:val="0"/>
                          <w:marRight w:val="0"/>
                          <w:marTop w:val="0"/>
                          <w:marBottom w:val="0"/>
                          <w:divBdr>
                            <w:top w:val="none" w:sz="0" w:space="0" w:color="auto"/>
                            <w:left w:val="none" w:sz="0" w:space="0" w:color="auto"/>
                            <w:bottom w:val="none" w:sz="0" w:space="0" w:color="auto"/>
                            <w:right w:val="none" w:sz="0" w:space="0" w:color="auto"/>
                          </w:divBdr>
                        </w:div>
                      </w:divsChild>
                    </w:div>
                    <w:div w:id="1700887097">
                      <w:marLeft w:val="360"/>
                      <w:marRight w:val="0"/>
                      <w:marTop w:val="0"/>
                      <w:marBottom w:val="72"/>
                      <w:divBdr>
                        <w:top w:val="none" w:sz="0" w:space="0" w:color="auto"/>
                        <w:left w:val="none" w:sz="0" w:space="0" w:color="auto"/>
                        <w:bottom w:val="none" w:sz="0" w:space="0" w:color="auto"/>
                        <w:right w:val="none" w:sz="0" w:space="0" w:color="auto"/>
                      </w:divBdr>
                      <w:divsChild>
                        <w:div w:id="785927059">
                          <w:marLeft w:val="0"/>
                          <w:marRight w:val="0"/>
                          <w:marTop w:val="0"/>
                          <w:marBottom w:val="0"/>
                          <w:divBdr>
                            <w:top w:val="none" w:sz="0" w:space="0" w:color="auto"/>
                            <w:left w:val="none" w:sz="0" w:space="0" w:color="auto"/>
                            <w:bottom w:val="none" w:sz="0" w:space="0" w:color="auto"/>
                            <w:right w:val="none" w:sz="0" w:space="0" w:color="auto"/>
                          </w:divBdr>
                        </w:div>
                      </w:divsChild>
                    </w:div>
                    <w:div w:id="28334619">
                      <w:marLeft w:val="360"/>
                      <w:marRight w:val="0"/>
                      <w:marTop w:val="0"/>
                      <w:marBottom w:val="72"/>
                      <w:divBdr>
                        <w:top w:val="none" w:sz="0" w:space="0" w:color="auto"/>
                        <w:left w:val="none" w:sz="0" w:space="0" w:color="auto"/>
                        <w:bottom w:val="none" w:sz="0" w:space="0" w:color="auto"/>
                        <w:right w:val="none" w:sz="0" w:space="0" w:color="auto"/>
                      </w:divBdr>
                      <w:divsChild>
                        <w:div w:id="2057970453">
                          <w:marLeft w:val="0"/>
                          <w:marRight w:val="0"/>
                          <w:marTop w:val="0"/>
                          <w:marBottom w:val="0"/>
                          <w:divBdr>
                            <w:top w:val="none" w:sz="0" w:space="0" w:color="auto"/>
                            <w:left w:val="none" w:sz="0" w:space="0" w:color="auto"/>
                            <w:bottom w:val="none" w:sz="0" w:space="0" w:color="auto"/>
                            <w:right w:val="none" w:sz="0" w:space="0" w:color="auto"/>
                          </w:divBdr>
                        </w:div>
                      </w:divsChild>
                    </w:div>
                    <w:div w:id="626278649">
                      <w:marLeft w:val="360"/>
                      <w:marRight w:val="0"/>
                      <w:marTop w:val="0"/>
                      <w:marBottom w:val="72"/>
                      <w:divBdr>
                        <w:top w:val="none" w:sz="0" w:space="0" w:color="auto"/>
                        <w:left w:val="none" w:sz="0" w:space="0" w:color="auto"/>
                        <w:bottom w:val="none" w:sz="0" w:space="0" w:color="auto"/>
                        <w:right w:val="none" w:sz="0" w:space="0" w:color="auto"/>
                      </w:divBdr>
                      <w:divsChild>
                        <w:div w:id="1502085167">
                          <w:marLeft w:val="0"/>
                          <w:marRight w:val="0"/>
                          <w:marTop w:val="0"/>
                          <w:marBottom w:val="0"/>
                          <w:divBdr>
                            <w:top w:val="none" w:sz="0" w:space="0" w:color="auto"/>
                            <w:left w:val="none" w:sz="0" w:space="0" w:color="auto"/>
                            <w:bottom w:val="none" w:sz="0" w:space="0" w:color="auto"/>
                            <w:right w:val="none" w:sz="0" w:space="0" w:color="auto"/>
                          </w:divBdr>
                        </w:div>
                      </w:divsChild>
                    </w:div>
                    <w:div w:id="815798612">
                      <w:marLeft w:val="360"/>
                      <w:marRight w:val="0"/>
                      <w:marTop w:val="0"/>
                      <w:marBottom w:val="72"/>
                      <w:divBdr>
                        <w:top w:val="none" w:sz="0" w:space="0" w:color="auto"/>
                        <w:left w:val="none" w:sz="0" w:space="0" w:color="auto"/>
                        <w:bottom w:val="none" w:sz="0" w:space="0" w:color="auto"/>
                        <w:right w:val="none" w:sz="0" w:space="0" w:color="auto"/>
                      </w:divBdr>
                      <w:divsChild>
                        <w:div w:id="1034232485">
                          <w:marLeft w:val="0"/>
                          <w:marRight w:val="0"/>
                          <w:marTop w:val="0"/>
                          <w:marBottom w:val="0"/>
                          <w:divBdr>
                            <w:top w:val="none" w:sz="0" w:space="0" w:color="auto"/>
                            <w:left w:val="none" w:sz="0" w:space="0" w:color="auto"/>
                            <w:bottom w:val="none" w:sz="0" w:space="0" w:color="auto"/>
                            <w:right w:val="none" w:sz="0" w:space="0" w:color="auto"/>
                          </w:divBdr>
                        </w:div>
                      </w:divsChild>
                    </w:div>
                    <w:div w:id="407507960">
                      <w:marLeft w:val="360"/>
                      <w:marRight w:val="0"/>
                      <w:marTop w:val="0"/>
                      <w:marBottom w:val="72"/>
                      <w:divBdr>
                        <w:top w:val="none" w:sz="0" w:space="0" w:color="auto"/>
                        <w:left w:val="none" w:sz="0" w:space="0" w:color="auto"/>
                        <w:bottom w:val="none" w:sz="0" w:space="0" w:color="auto"/>
                        <w:right w:val="none" w:sz="0" w:space="0" w:color="auto"/>
                      </w:divBdr>
                      <w:divsChild>
                        <w:div w:id="1097097694">
                          <w:marLeft w:val="0"/>
                          <w:marRight w:val="0"/>
                          <w:marTop w:val="0"/>
                          <w:marBottom w:val="0"/>
                          <w:divBdr>
                            <w:top w:val="none" w:sz="0" w:space="0" w:color="auto"/>
                            <w:left w:val="none" w:sz="0" w:space="0" w:color="auto"/>
                            <w:bottom w:val="none" w:sz="0" w:space="0" w:color="auto"/>
                            <w:right w:val="none" w:sz="0" w:space="0" w:color="auto"/>
                          </w:divBdr>
                        </w:div>
                      </w:divsChild>
                    </w:div>
                    <w:div w:id="561142076">
                      <w:marLeft w:val="360"/>
                      <w:marRight w:val="0"/>
                      <w:marTop w:val="0"/>
                      <w:marBottom w:val="72"/>
                      <w:divBdr>
                        <w:top w:val="none" w:sz="0" w:space="0" w:color="auto"/>
                        <w:left w:val="none" w:sz="0" w:space="0" w:color="auto"/>
                        <w:bottom w:val="none" w:sz="0" w:space="0" w:color="auto"/>
                        <w:right w:val="none" w:sz="0" w:space="0" w:color="auto"/>
                      </w:divBdr>
                      <w:divsChild>
                        <w:div w:id="415900639">
                          <w:marLeft w:val="0"/>
                          <w:marRight w:val="0"/>
                          <w:marTop w:val="0"/>
                          <w:marBottom w:val="0"/>
                          <w:divBdr>
                            <w:top w:val="none" w:sz="0" w:space="0" w:color="auto"/>
                            <w:left w:val="none" w:sz="0" w:space="0" w:color="auto"/>
                            <w:bottom w:val="none" w:sz="0" w:space="0" w:color="auto"/>
                            <w:right w:val="none" w:sz="0" w:space="0" w:color="auto"/>
                          </w:divBdr>
                        </w:div>
                      </w:divsChild>
                    </w:div>
                    <w:div w:id="1217937725">
                      <w:marLeft w:val="360"/>
                      <w:marRight w:val="0"/>
                      <w:marTop w:val="0"/>
                      <w:marBottom w:val="72"/>
                      <w:divBdr>
                        <w:top w:val="none" w:sz="0" w:space="0" w:color="auto"/>
                        <w:left w:val="none" w:sz="0" w:space="0" w:color="auto"/>
                        <w:bottom w:val="none" w:sz="0" w:space="0" w:color="auto"/>
                        <w:right w:val="none" w:sz="0" w:space="0" w:color="auto"/>
                      </w:divBdr>
                      <w:divsChild>
                        <w:div w:id="1878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0624">
                  <w:marLeft w:val="0"/>
                  <w:marRight w:val="0"/>
                  <w:marTop w:val="72"/>
                  <w:marBottom w:val="0"/>
                  <w:divBdr>
                    <w:top w:val="none" w:sz="0" w:space="0" w:color="auto"/>
                    <w:left w:val="none" w:sz="0" w:space="0" w:color="auto"/>
                    <w:bottom w:val="none" w:sz="0" w:space="0" w:color="auto"/>
                    <w:right w:val="none" w:sz="0" w:space="0" w:color="auto"/>
                  </w:divBdr>
                  <w:divsChild>
                    <w:div w:id="763572124">
                      <w:marLeft w:val="0"/>
                      <w:marRight w:val="0"/>
                      <w:marTop w:val="0"/>
                      <w:marBottom w:val="0"/>
                      <w:divBdr>
                        <w:top w:val="none" w:sz="0" w:space="0" w:color="auto"/>
                        <w:left w:val="none" w:sz="0" w:space="0" w:color="auto"/>
                        <w:bottom w:val="none" w:sz="0" w:space="0" w:color="auto"/>
                        <w:right w:val="none" w:sz="0" w:space="0" w:color="auto"/>
                      </w:divBdr>
                    </w:div>
                    <w:div w:id="2018118689">
                      <w:marLeft w:val="360"/>
                      <w:marRight w:val="0"/>
                      <w:marTop w:val="72"/>
                      <w:marBottom w:val="72"/>
                      <w:divBdr>
                        <w:top w:val="none" w:sz="0" w:space="0" w:color="auto"/>
                        <w:left w:val="none" w:sz="0" w:space="0" w:color="auto"/>
                        <w:bottom w:val="none" w:sz="0" w:space="0" w:color="auto"/>
                        <w:right w:val="none" w:sz="0" w:space="0" w:color="auto"/>
                      </w:divBdr>
                      <w:divsChild>
                        <w:div w:id="2010211688">
                          <w:marLeft w:val="0"/>
                          <w:marRight w:val="0"/>
                          <w:marTop w:val="0"/>
                          <w:marBottom w:val="0"/>
                          <w:divBdr>
                            <w:top w:val="none" w:sz="0" w:space="0" w:color="auto"/>
                            <w:left w:val="none" w:sz="0" w:space="0" w:color="auto"/>
                            <w:bottom w:val="none" w:sz="0" w:space="0" w:color="auto"/>
                            <w:right w:val="none" w:sz="0" w:space="0" w:color="auto"/>
                          </w:divBdr>
                        </w:div>
                      </w:divsChild>
                    </w:div>
                    <w:div w:id="717245374">
                      <w:marLeft w:val="360"/>
                      <w:marRight w:val="0"/>
                      <w:marTop w:val="0"/>
                      <w:marBottom w:val="72"/>
                      <w:divBdr>
                        <w:top w:val="none" w:sz="0" w:space="0" w:color="auto"/>
                        <w:left w:val="none" w:sz="0" w:space="0" w:color="auto"/>
                        <w:bottom w:val="none" w:sz="0" w:space="0" w:color="auto"/>
                        <w:right w:val="none" w:sz="0" w:space="0" w:color="auto"/>
                      </w:divBdr>
                      <w:divsChild>
                        <w:div w:id="1689872916">
                          <w:marLeft w:val="0"/>
                          <w:marRight w:val="0"/>
                          <w:marTop w:val="0"/>
                          <w:marBottom w:val="0"/>
                          <w:divBdr>
                            <w:top w:val="none" w:sz="0" w:space="0" w:color="auto"/>
                            <w:left w:val="none" w:sz="0" w:space="0" w:color="auto"/>
                            <w:bottom w:val="none" w:sz="0" w:space="0" w:color="auto"/>
                            <w:right w:val="none" w:sz="0" w:space="0" w:color="auto"/>
                          </w:divBdr>
                        </w:div>
                      </w:divsChild>
                    </w:div>
                    <w:div w:id="1304385912">
                      <w:marLeft w:val="360"/>
                      <w:marRight w:val="0"/>
                      <w:marTop w:val="0"/>
                      <w:marBottom w:val="72"/>
                      <w:divBdr>
                        <w:top w:val="none" w:sz="0" w:space="0" w:color="auto"/>
                        <w:left w:val="none" w:sz="0" w:space="0" w:color="auto"/>
                        <w:bottom w:val="none" w:sz="0" w:space="0" w:color="auto"/>
                        <w:right w:val="none" w:sz="0" w:space="0" w:color="auto"/>
                      </w:divBdr>
                      <w:divsChild>
                        <w:div w:id="1694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7678">
              <w:marLeft w:val="0"/>
              <w:marRight w:val="0"/>
              <w:marTop w:val="72"/>
              <w:marBottom w:val="240"/>
              <w:divBdr>
                <w:top w:val="none" w:sz="0" w:space="0" w:color="auto"/>
                <w:left w:val="none" w:sz="0" w:space="0" w:color="auto"/>
                <w:bottom w:val="none" w:sz="0" w:space="0" w:color="auto"/>
                <w:right w:val="none" w:sz="0" w:space="0" w:color="auto"/>
              </w:divBdr>
              <w:divsChild>
                <w:div w:id="1528449865">
                  <w:marLeft w:val="0"/>
                  <w:marRight w:val="0"/>
                  <w:marTop w:val="0"/>
                  <w:marBottom w:val="0"/>
                  <w:divBdr>
                    <w:top w:val="none" w:sz="0" w:space="0" w:color="auto"/>
                    <w:left w:val="none" w:sz="0" w:space="0" w:color="auto"/>
                    <w:bottom w:val="none" w:sz="0" w:space="0" w:color="auto"/>
                    <w:right w:val="none" w:sz="0" w:space="0" w:color="auto"/>
                  </w:divBdr>
                </w:div>
                <w:div w:id="747966479">
                  <w:marLeft w:val="0"/>
                  <w:marRight w:val="0"/>
                  <w:marTop w:val="72"/>
                  <w:marBottom w:val="0"/>
                  <w:divBdr>
                    <w:top w:val="none" w:sz="0" w:space="0" w:color="auto"/>
                    <w:left w:val="none" w:sz="0" w:space="0" w:color="auto"/>
                    <w:bottom w:val="none" w:sz="0" w:space="0" w:color="auto"/>
                    <w:right w:val="none" w:sz="0" w:space="0" w:color="auto"/>
                  </w:divBdr>
                  <w:divsChild>
                    <w:div w:id="1010061472">
                      <w:marLeft w:val="0"/>
                      <w:marRight w:val="0"/>
                      <w:marTop w:val="0"/>
                      <w:marBottom w:val="0"/>
                      <w:divBdr>
                        <w:top w:val="none" w:sz="0" w:space="0" w:color="auto"/>
                        <w:left w:val="none" w:sz="0" w:space="0" w:color="auto"/>
                        <w:bottom w:val="none" w:sz="0" w:space="0" w:color="auto"/>
                        <w:right w:val="none" w:sz="0" w:space="0" w:color="auto"/>
                      </w:divBdr>
                    </w:div>
                  </w:divsChild>
                </w:div>
                <w:div w:id="49963978">
                  <w:marLeft w:val="0"/>
                  <w:marRight w:val="0"/>
                  <w:marTop w:val="72"/>
                  <w:marBottom w:val="0"/>
                  <w:divBdr>
                    <w:top w:val="none" w:sz="0" w:space="0" w:color="auto"/>
                    <w:left w:val="none" w:sz="0" w:space="0" w:color="auto"/>
                    <w:bottom w:val="none" w:sz="0" w:space="0" w:color="auto"/>
                    <w:right w:val="none" w:sz="0" w:space="0" w:color="auto"/>
                  </w:divBdr>
                  <w:divsChild>
                    <w:div w:id="691492833">
                      <w:marLeft w:val="0"/>
                      <w:marRight w:val="0"/>
                      <w:marTop w:val="0"/>
                      <w:marBottom w:val="0"/>
                      <w:divBdr>
                        <w:top w:val="none" w:sz="0" w:space="0" w:color="auto"/>
                        <w:left w:val="none" w:sz="0" w:space="0" w:color="auto"/>
                        <w:bottom w:val="none" w:sz="0" w:space="0" w:color="auto"/>
                        <w:right w:val="none" w:sz="0" w:space="0" w:color="auto"/>
                      </w:divBdr>
                    </w:div>
                  </w:divsChild>
                </w:div>
                <w:div w:id="473791701">
                  <w:marLeft w:val="0"/>
                  <w:marRight w:val="0"/>
                  <w:marTop w:val="72"/>
                  <w:marBottom w:val="0"/>
                  <w:divBdr>
                    <w:top w:val="none" w:sz="0" w:space="0" w:color="auto"/>
                    <w:left w:val="none" w:sz="0" w:space="0" w:color="auto"/>
                    <w:bottom w:val="none" w:sz="0" w:space="0" w:color="auto"/>
                    <w:right w:val="none" w:sz="0" w:space="0" w:color="auto"/>
                  </w:divBdr>
                  <w:divsChild>
                    <w:div w:id="19418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273">
              <w:marLeft w:val="0"/>
              <w:marRight w:val="0"/>
              <w:marTop w:val="72"/>
              <w:marBottom w:val="240"/>
              <w:divBdr>
                <w:top w:val="none" w:sz="0" w:space="0" w:color="auto"/>
                <w:left w:val="none" w:sz="0" w:space="0" w:color="auto"/>
                <w:bottom w:val="none" w:sz="0" w:space="0" w:color="auto"/>
                <w:right w:val="none" w:sz="0" w:space="0" w:color="auto"/>
              </w:divBdr>
              <w:divsChild>
                <w:div w:id="435557694">
                  <w:marLeft w:val="0"/>
                  <w:marRight w:val="0"/>
                  <w:marTop w:val="0"/>
                  <w:marBottom w:val="0"/>
                  <w:divBdr>
                    <w:top w:val="none" w:sz="0" w:space="0" w:color="auto"/>
                    <w:left w:val="none" w:sz="0" w:space="0" w:color="auto"/>
                    <w:bottom w:val="none" w:sz="0" w:space="0" w:color="auto"/>
                    <w:right w:val="none" w:sz="0" w:space="0" w:color="auto"/>
                  </w:divBdr>
                </w:div>
              </w:divsChild>
            </w:div>
            <w:div w:id="518349112">
              <w:marLeft w:val="0"/>
              <w:marRight w:val="0"/>
              <w:marTop w:val="72"/>
              <w:marBottom w:val="240"/>
              <w:divBdr>
                <w:top w:val="none" w:sz="0" w:space="0" w:color="auto"/>
                <w:left w:val="none" w:sz="0" w:space="0" w:color="auto"/>
                <w:bottom w:val="none" w:sz="0" w:space="0" w:color="auto"/>
                <w:right w:val="none" w:sz="0" w:space="0" w:color="auto"/>
              </w:divBdr>
              <w:divsChild>
                <w:div w:id="2037121208">
                  <w:marLeft w:val="0"/>
                  <w:marRight w:val="0"/>
                  <w:marTop w:val="0"/>
                  <w:marBottom w:val="0"/>
                  <w:divBdr>
                    <w:top w:val="none" w:sz="0" w:space="0" w:color="auto"/>
                    <w:left w:val="none" w:sz="0" w:space="0" w:color="auto"/>
                    <w:bottom w:val="none" w:sz="0" w:space="0" w:color="auto"/>
                    <w:right w:val="none" w:sz="0" w:space="0" w:color="auto"/>
                  </w:divBdr>
                </w:div>
              </w:divsChild>
            </w:div>
            <w:div w:id="2058773773">
              <w:marLeft w:val="0"/>
              <w:marRight w:val="0"/>
              <w:marTop w:val="72"/>
              <w:marBottom w:val="240"/>
              <w:divBdr>
                <w:top w:val="none" w:sz="0" w:space="0" w:color="auto"/>
                <w:left w:val="none" w:sz="0" w:space="0" w:color="auto"/>
                <w:bottom w:val="none" w:sz="0" w:space="0" w:color="auto"/>
                <w:right w:val="none" w:sz="0" w:space="0" w:color="auto"/>
              </w:divBdr>
              <w:divsChild>
                <w:div w:id="1342119669">
                  <w:marLeft w:val="0"/>
                  <w:marRight w:val="0"/>
                  <w:marTop w:val="0"/>
                  <w:marBottom w:val="0"/>
                  <w:divBdr>
                    <w:top w:val="none" w:sz="0" w:space="0" w:color="auto"/>
                    <w:left w:val="none" w:sz="0" w:space="0" w:color="auto"/>
                    <w:bottom w:val="none" w:sz="0" w:space="0" w:color="auto"/>
                    <w:right w:val="none" w:sz="0" w:space="0" w:color="auto"/>
                  </w:divBdr>
                </w:div>
                <w:div w:id="1469514276">
                  <w:marLeft w:val="0"/>
                  <w:marRight w:val="0"/>
                  <w:marTop w:val="72"/>
                  <w:marBottom w:val="0"/>
                  <w:divBdr>
                    <w:top w:val="none" w:sz="0" w:space="0" w:color="auto"/>
                    <w:left w:val="none" w:sz="0" w:space="0" w:color="auto"/>
                    <w:bottom w:val="none" w:sz="0" w:space="0" w:color="auto"/>
                    <w:right w:val="none" w:sz="0" w:space="0" w:color="auto"/>
                  </w:divBdr>
                  <w:divsChild>
                    <w:div w:id="1068571248">
                      <w:marLeft w:val="0"/>
                      <w:marRight w:val="0"/>
                      <w:marTop w:val="0"/>
                      <w:marBottom w:val="0"/>
                      <w:divBdr>
                        <w:top w:val="none" w:sz="0" w:space="0" w:color="auto"/>
                        <w:left w:val="none" w:sz="0" w:space="0" w:color="auto"/>
                        <w:bottom w:val="none" w:sz="0" w:space="0" w:color="auto"/>
                        <w:right w:val="none" w:sz="0" w:space="0" w:color="auto"/>
                      </w:divBdr>
                    </w:div>
                  </w:divsChild>
                </w:div>
                <w:div w:id="1646012112">
                  <w:marLeft w:val="0"/>
                  <w:marRight w:val="0"/>
                  <w:marTop w:val="72"/>
                  <w:marBottom w:val="0"/>
                  <w:divBdr>
                    <w:top w:val="none" w:sz="0" w:space="0" w:color="auto"/>
                    <w:left w:val="none" w:sz="0" w:space="0" w:color="auto"/>
                    <w:bottom w:val="none" w:sz="0" w:space="0" w:color="auto"/>
                    <w:right w:val="none" w:sz="0" w:space="0" w:color="auto"/>
                  </w:divBdr>
                  <w:divsChild>
                    <w:div w:id="361252463">
                      <w:marLeft w:val="0"/>
                      <w:marRight w:val="0"/>
                      <w:marTop w:val="0"/>
                      <w:marBottom w:val="0"/>
                      <w:divBdr>
                        <w:top w:val="none" w:sz="0" w:space="0" w:color="auto"/>
                        <w:left w:val="none" w:sz="0" w:space="0" w:color="auto"/>
                        <w:bottom w:val="none" w:sz="0" w:space="0" w:color="auto"/>
                        <w:right w:val="none" w:sz="0" w:space="0" w:color="auto"/>
                      </w:divBdr>
                    </w:div>
                    <w:div w:id="2115517304">
                      <w:marLeft w:val="360"/>
                      <w:marRight w:val="0"/>
                      <w:marTop w:val="72"/>
                      <w:marBottom w:val="72"/>
                      <w:divBdr>
                        <w:top w:val="none" w:sz="0" w:space="0" w:color="auto"/>
                        <w:left w:val="none" w:sz="0" w:space="0" w:color="auto"/>
                        <w:bottom w:val="none" w:sz="0" w:space="0" w:color="auto"/>
                        <w:right w:val="none" w:sz="0" w:space="0" w:color="auto"/>
                      </w:divBdr>
                      <w:divsChild>
                        <w:div w:id="643629953">
                          <w:marLeft w:val="0"/>
                          <w:marRight w:val="0"/>
                          <w:marTop w:val="0"/>
                          <w:marBottom w:val="0"/>
                          <w:divBdr>
                            <w:top w:val="none" w:sz="0" w:space="0" w:color="auto"/>
                            <w:left w:val="none" w:sz="0" w:space="0" w:color="auto"/>
                            <w:bottom w:val="none" w:sz="0" w:space="0" w:color="auto"/>
                            <w:right w:val="none" w:sz="0" w:space="0" w:color="auto"/>
                          </w:divBdr>
                        </w:div>
                      </w:divsChild>
                    </w:div>
                    <w:div w:id="755589069">
                      <w:marLeft w:val="360"/>
                      <w:marRight w:val="0"/>
                      <w:marTop w:val="0"/>
                      <w:marBottom w:val="72"/>
                      <w:divBdr>
                        <w:top w:val="none" w:sz="0" w:space="0" w:color="auto"/>
                        <w:left w:val="none" w:sz="0" w:space="0" w:color="auto"/>
                        <w:bottom w:val="none" w:sz="0" w:space="0" w:color="auto"/>
                        <w:right w:val="none" w:sz="0" w:space="0" w:color="auto"/>
                      </w:divBdr>
                      <w:divsChild>
                        <w:div w:id="306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3714">
              <w:marLeft w:val="0"/>
              <w:marRight w:val="0"/>
              <w:marTop w:val="72"/>
              <w:marBottom w:val="240"/>
              <w:divBdr>
                <w:top w:val="none" w:sz="0" w:space="0" w:color="auto"/>
                <w:left w:val="none" w:sz="0" w:space="0" w:color="auto"/>
                <w:bottom w:val="none" w:sz="0" w:space="0" w:color="auto"/>
                <w:right w:val="none" w:sz="0" w:space="0" w:color="auto"/>
              </w:divBdr>
              <w:divsChild>
                <w:div w:id="1097216612">
                  <w:marLeft w:val="0"/>
                  <w:marRight w:val="0"/>
                  <w:marTop w:val="0"/>
                  <w:marBottom w:val="0"/>
                  <w:divBdr>
                    <w:top w:val="none" w:sz="0" w:space="0" w:color="auto"/>
                    <w:left w:val="none" w:sz="0" w:space="0" w:color="auto"/>
                    <w:bottom w:val="none" w:sz="0" w:space="0" w:color="auto"/>
                    <w:right w:val="none" w:sz="0" w:space="0" w:color="auto"/>
                  </w:divBdr>
                </w:div>
                <w:div w:id="1742361886">
                  <w:marLeft w:val="0"/>
                  <w:marRight w:val="0"/>
                  <w:marTop w:val="72"/>
                  <w:marBottom w:val="0"/>
                  <w:divBdr>
                    <w:top w:val="none" w:sz="0" w:space="0" w:color="auto"/>
                    <w:left w:val="none" w:sz="0" w:space="0" w:color="auto"/>
                    <w:bottom w:val="none" w:sz="0" w:space="0" w:color="auto"/>
                    <w:right w:val="none" w:sz="0" w:space="0" w:color="auto"/>
                  </w:divBdr>
                  <w:divsChild>
                    <w:div w:id="953097791">
                      <w:marLeft w:val="0"/>
                      <w:marRight w:val="0"/>
                      <w:marTop w:val="0"/>
                      <w:marBottom w:val="0"/>
                      <w:divBdr>
                        <w:top w:val="none" w:sz="0" w:space="0" w:color="auto"/>
                        <w:left w:val="none" w:sz="0" w:space="0" w:color="auto"/>
                        <w:bottom w:val="none" w:sz="0" w:space="0" w:color="auto"/>
                        <w:right w:val="none" w:sz="0" w:space="0" w:color="auto"/>
                      </w:divBdr>
                    </w:div>
                  </w:divsChild>
                </w:div>
                <w:div w:id="641272839">
                  <w:marLeft w:val="0"/>
                  <w:marRight w:val="0"/>
                  <w:marTop w:val="72"/>
                  <w:marBottom w:val="0"/>
                  <w:divBdr>
                    <w:top w:val="none" w:sz="0" w:space="0" w:color="auto"/>
                    <w:left w:val="none" w:sz="0" w:space="0" w:color="auto"/>
                    <w:bottom w:val="none" w:sz="0" w:space="0" w:color="auto"/>
                    <w:right w:val="none" w:sz="0" w:space="0" w:color="auto"/>
                  </w:divBdr>
                  <w:divsChild>
                    <w:div w:id="88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0304">
              <w:marLeft w:val="0"/>
              <w:marRight w:val="0"/>
              <w:marTop w:val="72"/>
              <w:marBottom w:val="240"/>
              <w:divBdr>
                <w:top w:val="none" w:sz="0" w:space="0" w:color="auto"/>
                <w:left w:val="none" w:sz="0" w:space="0" w:color="auto"/>
                <w:bottom w:val="none" w:sz="0" w:space="0" w:color="auto"/>
                <w:right w:val="none" w:sz="0" w:space="0" w:color="auto"/>
              </w:divBdr>
              <w:divsChild>
                <w:div w:id="6906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152">
      <w:bodyDiv w:val="1"/>
      <w:marLeft w:val="0"/>
      <w:marRight w:val="0"/>
      <w:marTop w:val="0"/>
      <w:marBottom w:val="0"/>
      <w:divBdr>
        <w:top w:val="none" w:sz="0" w:space="0" w:color="auto"/>
        <w:left w:val="none" w:sz="0" w:space="0" w:color="auto"/>
        <w:bottom w:val="none" w:sz="0" w:space="0" w:color="auto"/>
        <w:right w:val="none" w:sz="0" w:space="0" w:color="auto"/>
      </w:divBdr>
    </w:div>
    <w:div w:id="1774087445">
      <w:bodyDiv w:val="1"/>
      <w:marLeft w:val="0"/>
      <w:marRight w:val="0"/>
      <w:marTop w:val="0"/>
      <w:marBottom w:val="0"/>
      <w:divBdr>
        <w:top w:val="none" w:sz="0" w:space="0" w:color="auto"/>
        <w:left w:val="none" w:sz="0" w:space="0" w:color="auto"/>
        <w:bottom w:val="none" w:sz="0" w:space="0" w:color="auto"/>
        <w:right w:val="none" w:sz="0" w:space="0" w:color="auto"/>
      </w:divBdr>
      <w:divsChild>
        <w:div w:id="1948654386">
          <w:marLeft w:val="0"/>
          <w:marRight w:val="0"/>
          <w:marTop w:val="0"/>
          <w:marBottom w:val="0"/>
          <w:divBdr>
            <w:top w:val="none" w:sz="0" w:space="0" w:color="auto"/>
            <w:left w:val="none" w:sz="0" w:space="0" w:color="auto"/>
            <w:bottom w:val="none" w:sz="0" w:space="0" w:color="auto"/>
            <w:right w:val="none" w:sz="0" w:space="0" w:color="auto"/>
          </w:divBdr>
        </w:div>
      </w:divsChild>
    </w:div>
    <w:div w:id="1802645871">
      <w:bodyDiv w:val="1"/>
      <w:marLeft w:val="0"/>
      <w:marRight w:val="0"/>
      <w:marTop w:val="0"/>
      <w:marBottom w:val="0"/>
      <w:divBdr>
        <w:top w:val="none" w:sz="0" w:space="0" w:color="auto"/>
        <w:left w:val="none" w:sz="0" w:space="0" w:color="auto"/>
        <w:bottom w:val="none" w:sz="0" w:space="0" w:color="auto"/>
        <w:right w:val="none" w:sz="0" w:space="0" w:color="auto"/>
      </w:divBdr>
      <w:divsChild>
        <w:div w:id="379061588">
          <w:marLeft w:val="0"/>
          <w:marRight w:val="0"/>
          <w:marTop w:val="0"/>
          <w:marBottom w:val="0"/>
          <w:divBdr>
            <w:top w:val="none" w:sz="0" w:space="0" w:color="auto"/>
            <w:left w:val="none" w:sz="0" w:space="0" w:color="auto"/>
            <w:bottom w:val="none" w:sz="0" w:space="0" w:color="auto"/>
            <w:right w:val="none" w:sz="0" w:space="0" w:color="auto"/>
          </w:divBdr>
        </w:div>
      </w:divsChild>
    </w:div>
    <w:div w:id="1831142039">
      <w:bodyDiv w:val="1"/>
      <w:marLeft w:val="0"/>
      <w:marRight w:val="0"/>
      <w:marTop w:val="0"/>
      <w:marBottom w:val="0"/>
      <w:divBdr>
        <w:top w:val="none" w:sz="0" w:space="0" w:color="auto"/>
        <w:left w:val="none" w:sz="0" w:space="0" w:color="auto"/>
        <w:bottom w:val="none" w:sz="0" w:space="0" w:color="auto"/>
        <w:right w:val="none" w:sz="0" w:space="0" w:color="auto"/>
      </w:divBdr>
      <w:divsChild>
        <w:div w:id="801731214">
          <w:marLeft w:val="0"/>
          <w:marRight w:val="0"/>
          <w:marTop w:val="0"/>
          <w:marBottom w:val="0"/>
          <w:divBdr>
            <w:top w:val="none" w:sz="0" w:space="0" w:color="auto"/>
            <w:left w:val="none" w:sz="0" w:space="0" w:color="auto"/>
            <w:bottom w:val="none" w:sz="0" w:space="0" w:color="auto"/>
            <w:right w:val="none" w:sz="0" w:space="0" w:color="auto"/>
          </w:divBdr>
        </w:div>
      </w:divsChild>
    </w:div>
    <w:div w:id="1833644754">
      <w:bodyDiv w:val="1"/>
      <w:marLeft w:val="0"/>
      <w:marRight w:val="0"/>
      <w:marTop w:val="0"/>
      <w:marBottom w:val="0"/>
      <w:divBdr>
        <w:top w:val="none" w:sz="0" w:space="0" w:color="auto"/>
        <w:left w:val="none" w:sz="0" w:space="0" w:color="auto"/>
        <w:bottom w:val="none" w:sz="0" w:space="0" w:color="auto"/>
        <w:right w:val="none" w:sz="0" w:space="0" w:color="auto"/>
      </w:divBdr>
      <w:divsChild>
        <w:div w:id="885988971">
          <w:marLeft w:val="0"/>
          <w:marRight w:val="0"/>
          <w:marTop w:val="72"/>
          <w:marBottom w:val="0"/>
          <w:divBdr>
            <w:top w:val="none" w:sz="0" w:space="0" w:color="auto"/>
            <w:left w:val="none" w:sz="0" w:space="0" w:color="auto"/>
            <w:bottom w:val="none" w:sz="0" w:space="0" w:color="auto"/>
            <w:right w:val="none" w:sz="0" w:space="0" w:color="auto"/>
          </w:divBdr>
          <w:divsChild>
            <w:div w:id="1044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805">
      <w:bodyDiv w:val="1"/>
      <w:marLeft w:val="0"/>
      <w:marRight w:val="0"/>
      <w:marTop w:val="0"/>
      <w:marBottom w:val="0"/>
      <w:divBdr>
        <w:top w:val="none" w:sz="0" w:space="0" w:color="auto"/>
        <w:left w:val="none" w:sz="0" w:space="0" w:color="auto"/>
        <w:bottom w:val="none" w:sz="0" w:space="0" w:color="auto"/>
        <w:right w:val="none" w:sz="0" w:space="0" w:color="auto"/>
      </w:divBdr>
      <w:divsChild>
        <w:div w:id="1792632285">
          <w:marLeft w:val="0"/>
          <w:marRight w:val="0"/>
          <w:marTop w:val="0"/>
          <w:marBottom w:val="0"/>
          <w:divBdr>
            <w:top w:val="none" w:sz="0" w:space="0" w:color="auto"/>
            <w:left w:val="none" w:sz="0" w:space="0" w:color="auto"/>
            <w:bottom w:val="none" w:sz="0" w:space="0" w:color="auto"/>
            <w:right w:val="none" w:sz="0" w:space="0" w:color="auto"/>
          </w:divBdr>
        </w:div>
      </w:divsChild>
    </w:div>
    <w:div w:id="1978100294">
      <w:bodyDiv w:val="1"/>
      <w:marLeft w:val="0"/>
      <w:marRight w:val="0"/>
      <w:marTop w:val="0"/>
      <w:marBottom w:val="0"/>
      <w:divBdr>
        <w:top w:val="none" w:sz="0" w:space="0" w:color="auto"/>
        <w:left w:val="none" w:sz="0" w:space="0" w:color="auto"/>
        <w:bottom w:val="none" w:sz="0" w:space="0" w:color="auto"/>
        <w:right w:val="none" w:sz="0" w:space="0" w:color="auto"/>
      </w:divBdr>
      <w:divsChild>
        <w:div w:id="820923761">
          <w:marLeft w:val="0"/>
          <w:marRight w:val="0"/>
          <w:marTop w:val="0"/>
          <w:marBottom w:val="0"/>
          <w:divBdr>
            <w:top w:val="none" w:sz="0" w:space="0" w:color="auto"/>
            <w:left w:val="none" w:sz="0" w:space="0" w:color="auto"/>
            <w:bottom w:val="none" w:sz="0" w:space="0" w:color="auto"/>
            <w:right w:val="none" w:sz="0" w:space="0" w:color="auto"/>
          </w:divBdr>
        </w:div>
      </w:divsChild>
    </w:div>
    <w:div w:id="1999723266">
      <w:bodyDiv w:val="1"/>
      <w:marLeft w:val="0"/>
      <w:marRight w:val="0"/>
      <w:marTop w:val="0"/>
      <w:marBottom w:val="0"/>
      <w:divBdr>
        <w:top w:val="none" w:sz="0" w:space="0" w:color="auto"/>
        <w:left w:val="none" w:sz="0" w:space="0" w:color="auto"/>
        <w:bottom w:val="none" w:sz="0" w:space="0" w:color="auto"/>
        <w:right w:val="none" w:sz="0" w:space="0" w:color="auto"/>
      </w:divBdr>
      <w:divsChild>
        <w:div w:id="1190678780">
          <w:marLeft w:val="0"/>
          <w:marRight w:val="0"/>
          <w:marTop w:val="0"/>
          <w:marBottom w:val="0"/>
          <w:divBdr>
            <w:top w:val="none" w:sz="0" w:space="0" w:color="auto"/>
            <w:left w:val="none" w:sz="0" w:space="0" w:color="auto"/>
            <w:bottom w:val="none" w:sz="0" w:space="0" w:color="auto"/>
            <w:right w:val="none" w:sz="0" w:space="0" w:color="auto"/>
          </w:divBdr>
          <w:divsChild>
            <w:div w:id="1318149919">
              <w:marLeft w:val="0"/>
              <w:marRight w:val="0"/>
              <w:marTop w:val="0"/>
              <w:marBottom w:val="0"/>
              <w:divBdr>
                <w:top w:val="none" w:sz="0" w:space="0" w:color="auto"/>
                <w:left w:val="none" w:sz="0" w:space="0" w:color="auto"/>
                <w:bottom w:val="none" w:sz="0" w:space="0" w:color="auto"/>
                <w:right w:val="none" w:sz="0" w:space="0" w:color="auto"/>
              </w:divBdr>
            </w:div>
          </w:divsChild>
        </w:div>
        <w:div w:id="870069686">
          <w:marLeft w:val="0"/>
          <w:marRight w:val="0"/>
          <w:marTop w:val="0"/>
          <w:marBottom w:val="0"/>
          <w:divBdr>
            <w:top w:val="none" w:sz="0" w:space="0" w:color="auto"/>
            <w:left w:val="none" w:sz="0" w:space="0" w:color="auto"/>
            <w:bottom w:val="none" w:sz="0" w:space="0" w:color="auto"/>
            <w:right w:val="none" w:sz="0" w:space="0" w:color="auto"/>
          </w:divBdr>
          <w:divsChild>
            <w:div w:id="102965678">
              <w:marLeft w:val="0"/>
              <w:marRight w:val="0"/>
              <w:marTop w:val="0"/>
              <w:marBottom w:val="0"/>
              <w:divBdr>
                <w:top w:val="none" w:sz="0" w:space="0" w:color="auto"/>
                <w:left w:val="none" w:sz="0" w:space="0" w:color="auto"/>
                <w:bottom w:val="none" w:sz="0" w:space="0" w:color="auto"/>
                <w:right w:val="none" w:sz="0" w:space="0" w:color="auto"/>
              </w:divBdr>
            </w:div>
          </w:divsChild>
        </w:div>
        <w:div w:id="358823381">
          <w:marLeft w:val="0"/>
          <w:marRight w:val="0"/>
          <w:marTop w:val="0"/>
          <w:marBottom w:val="0"/>
          <w:divBdr>
            <w:top w:val="none" w:sz="0" w:space="0" w:color="auto"/>
            <w:left w:val="none" w:sz="0" w:space="0" w:color="auto"/>
            <w:bottom w:val="none" w:sz="0" w:space="0" w:color="auto"/>
            <w:right w:val="none" w:sz="0" w:space="0" w:color="auto"/>
          </w:divBdr>
          <w:divsChild>
            <w:div w:id="460080227">
              <w:marLeft w:val="0"/>
              <w:marRight w:val="0"/>
              <w:marTop w:val="0"/>
              <w:marBottom w:val="0"/>
              <w:divBdr>
                <w:top w:val="none" w:sz="0" w:space="0" w:color="auto"/>
                <w:left w:val="none" w:sz="0" w:space="0" w:color="auto"/>
                <w:bottom w:val="none" w:sz="0" w:space="0" w:color="auto"/>
                <w:right w:val="none" w:sz="0" w:space="0" w:color="auto"/>
              </w:divBdr>
            </w:div>
          </w:divsChild>
        </w:div>
        <w:div w:id="244268761">
          <w:marLeft w:val="0"/>
          <w:marRight w:val="0"/>
          <w:marTop w:val="0"/>
          <w:marBottom w:val="0"/>
          <w:divBdr>
            <w:top w:val="none" w:sz="0" w:space="0" w:color="auto"/>
            <w:left w:val="none" w:sz="0" w:space="0" w:color="auto"/>
            <w:bottom w:val="none" w:sz="0" w:space="0" w:color="auto"/>
            <w:right w:val="none" w:sz="0" w:space="0" w:color="auto"/>
          </w:divBdr>
          <w:divsChild>
            <w:div w:id="930504451">
              <w:marLeft w:val="0"/>
              <w:marRight w:val="0"/>
              <w:marTop w:val="0"/>
              <w:marBottom w:val="0"/>
              <w:divBdr>
                <w:top w:val="none" w:sz="0" w:space="0" w:color="auto"/>
                <w:left w:val="none" w:sz="0" w:space="0" w:color="auto"/>
                <w:bottom w:val="none" w:sz="0" w:space="0" w:color="auto"/>
                <w:right w:val="none" w:sz="0" w:space="0" w:color="auto"/>
              </w:divBdr>
            </w:div>
          </w:divsChild>
        </w:div>
        <w:div w:id="1159538984">
          <w:marLeft w:val="0"/>
          <w:marRight w:val="0"/>
          <w:marTop w:val="0"/>
          <w:marBottom w:val="0"/>
          <w:divBdr>
            <w:top w:val="none" w:sz="0" w:space="0" w:color="auto"/>
            <w:left w:val="none" w:sz="0" w:space="0" w:color="auto"/>
            <w:bottom w:val="none" w:sz="0" w:space="0" w:color="auto"/>
            <w:right w:val="none" w:sz="0" w:space="0" w:color="auto"/>
          </w:divBdr>
          <w:divsChild>
            <w:div w:id="9173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3536">
      <w:bodyDiv w:val="1"/>
      <w:marLeft w:val="0"/>
      <w:marRight w:val="0"/>
      <w:marTop w:val="0"/>
      <w:marBottom w:val="0"/>
      <w:divBdr>
        <w:top w:val="none" w:sz="0" w:space="0" w:color="auto"/>
        <w:left w:val="none" w:sz="0" w:space="0" w:color="auto"/>
        <w:bottom w:val="none" w:sz="0" w:space="0" w:color="auto"/>
        <w:right w:val="none" w:sz="0" w:space="0" w:color="auto"/>
      </w:divBdr>
      <w:divsChild>
        <w:div w:id="468134017">
          <w:marLeft w:val="0"/>
          <w:marRight w:val="0"/>
          <w:marTop w:val="0"/>
          <w:marBottom w:val="0"/>
          <w:divBdr>
            <w:top w:val="none" w:sz="0" w:space="0" w:color="auto"/>
            <w:left w:val="none" w:sz="0" w:space="0" w:color="auto"/>
            <w:bottom w:val="none" w:sz="0" w:space="0" w:color="auto"/>
            <w:right w:val="none" w:sz="0" w:space="0" w:color="auto"/>
          </w:divBdr>
        </w:div>
      </w:divsChild>
    </w:div>
    <w:div w:id="2032103786">
      <w:bodyDiv w:val="1"/>
      <w:marLeft w:val="0"/>
      <w:marRight w:val="0"/>
      <w:marTop w:val="0"/>
      <w:marBottom w:val="0"/>
      <w:divBdr>
        <w:top w:val="none" w:sz="0" w:space="0" w:color="auto"/>
        <w:left w:val="none" w:sz="0" w:space="0" w:color="auto"/>
        <w:bottom w:val="none" w:sz="0" w:space="0" w:color="auto"/>
        <w:right w:val="none" w:sz="0" w:space="0" w:color="auto"/>
      </w:divBdr>
      <w:divsChild>
        <w:div w:id="37973843">
          <w:marLeft w:val="0"/>
          <w:marRight w:val="0"/>
          <w:marTop w:val="0"/>
          <w:marBottom w:val="0"/>
          <w:divBdr>
            <w:top w:val="none" w:sz="0" w:space="0" w:color="auto"/>
            <w:left w:val="none" w:sz="0" w:space="0" w:color="auto"/>
            <w:bottom w:val="none" w:sz="0" w:space="0" w:color="auto"/>
            <w:right w:val="none" w:sz="0" w:space="0" w:color="auto"/>
          </w:divBdr>
        </w:div>
      </w:divsChild>
    </w:div>
    <w:div w:id="2043824338">
      <w:bodyDiv w:val="1"/>
      <w:marLeft w:val="0"/>
      <w:marRight w:val="0"/>
      <w:marTop w:val="0"/>
      <w:marBottom w:val="0"/>
      <w:divBdr>
        <w:top w:val="none" w:sz="0" w:space="0" w:color="auto"/>
        <w:left w:val="none" w:sz="0" w:space="0" w:color="auto"/>
        <w:bottom w:val="none" w:sz="0" w:space="0" w:color="auto"/>
        <w:right w:val="none" w:sz="0" w:space="0" w:color="auto"/>
      </w:divBdr>
      <w:divsChild>
        <w:div w:id="881360711">
          <w:marLeft w:val="0"/>
          <w:marRight w:val="0"/>
          <w:marTop w:val="0"/>
          <w:marBottom w:val="0"/>
          <w:divBdr>
            <w:top w:val="none" w:sz="0" w:space="0" w:color="auto"/>
            <w:left w:val="none" w:sz="0" w:space="0" w:color="auto"/>
            <w:bottom w:val="none" w:sz="0" w:space="0" w:color="auto"/>
            <w:right w:val="none" w:sz="0" w:space="0" w:color="auto"/>
          </w:divBdr>
        </w:div>
      </w:divsChild>
    </w:div>
    <w:div w:id="2047177973">
      <w:bodyDiv w:val="1"/>
      <w:marLeft w:val="0"/>
      <w:marRight w:val="0"/>
      <w:marTop w:val="0"/>
      <w:marBottom w:val="0"/>
      <w:divBdr>
        <w:top w:val="none" w:sz="0" w:space="0" w:color="auto"/>
        <w:left w:val="none" w:sz="0" w:space="0" w:color="auto"/>
        <w:bottom w:val="none" w:sz="0" w:space="0" w:color="auto"/>
        <w:right w:val="none" w:sz="0" w:space="0" w:color="auto"/>
      </w:divBdr>
      <w:divsChild>
        <w:div w:id="1278096160">
          <w:marLeft w:val="0"/>
          <w:marRight w:val="0"/>
          <w:marTop w:val="0"/>
          <w:marBottom w:val="0"/>
          <w:divBdr>
            <w:top w:val="none" w:sz="0" w:space="0" w:color="auto"/>
            <w:left w:val="none" w:sz="0" w:space="0" w:color="auto"/>
            <w:bottom w:val="none" w:sz="0" w:space="0" w:color="auto"/>
            <w:right w:val="none" w:sz="0" w:space="0" w:color="auto"/>
          </w:divBdr>
          <w:divsChild>
            <w:div w:id="112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892">
      <w:bodyDiv w:val="1"/>
      <w:marLeft w:val="0"/>
      <w:marRight w:val="0"/>
      <w:marTop w:val="0"/>
      <w:marBottom w:val="0"/>
      <w:divBdr>
        <w:top w:val="none" w:sz="0" w:space="0" w:color="auto"/>
        <w:left w:val="none" w:sz="0" w:space="0" w:color="auto"/>
        <w:bottom w:val="none" w:sz="0" w:space="0" w:color="auto"/>
        <w:right w:val="none" w:sz="0" w:space="0" w:color="auto"/>
      </w:divBdr>
      <w:divsChild>
        <w:div w:id="1711342414">
          <w:marLeft w:val="0"/>
          <w:marRight w:val="0"/>
          <w:marTop w:val="240"/>
          <w:marBottom w:val="0"/>
          <w:divBdr>
            <w:top w:val="none" w:sz="0" w:space="0" w:color="auto"/>
            <w:left w:val="none" w:sz="0" w:space="0" w:color="auto"/>
            <w:bottom w:val="none" w:sz="0" w:space="0" w:color="auto"/>
            <w:right w:val="none" w:sz="0" w:space="0" w:color="auto"/>
          </w:divBdr>
        </w:div>
        <w:div w:id="1465541175">
          <w:marLeft w:val="0"/>
          <w:marRight w:val="0"/>
          <w:marTop w:val="240"/>
          <w:marBottom w:val="0"/>
          <w:divBdr>
            <w:top w:val="none" w:sz="0" w:space="0" w:color="auto"/>
            <w:left w:val="none" w:sz="0" w:space="0" w:color="auto"/>
            <w:bottom w:val="none" w:sz="0" w:space="0" w:color="auto"/>
            <w:right w:val="none" w:sz="0" w:space="0" w:color="auto"/>
          </w:divBdr>
        </w:div>
      </w:divsChild>
    </w:div>
    <w:div w:id="2116442521">
      <w:bodyDiv w:val="1"/>
      <w:marLeft w:val="0"/>
      <w:marRight w:val="0"/>
      <w:marTop w:val="0"/>
      <w:marBottom w:val="0"/>
      <w:divBdr>
        <w:top w:val="none" w:sz="0" w:space="0" w:color="auto"/>
        <w:left w:val="none" w:sz="0" w:space="0" w:color="auto"/>
        <w:bottom w:val="none" w:sz="0" w:space="0" w:color="auto"/>
        <w:right w:val="none" w:sz="0" w:space="0" w:color="auto"/>
      </w:divBdr>
      <w:divsChild>
        <w:div w:id="1301110053">
          <w:marLeft w:val="0"/>
          <w:marRight w:val="0"/>
          <w:marTop w:val="0"/>
          <w:marBottom w:val="0"/>
          <w:divBdr>
            <w:top w:val="none" w:sz="0" w:space="0" w:color="auto"/>
            <w:left w:val="none" w:sz="0" w:space="0" w:color="auto"/>
            <w:bottom w:val="none" w:sz="0" w:space="0" w:color="auto"/>
            <w:right w:val="none" w:sz="0" w:space="0" w:color="auto"/>
          </w:divBdr>
        </w:div>
      </w:divsChild>
    </w:div>
    <w:div w:id="2119985366">
      <w:bodyDiv w:val="1"/>
      <w:marLeft w:val="0"/>
      <w:marRight w:val="0"/>
      <w:marTop w:val="0"/>
      <w:marBottom w:val="0"/>
      <w:divBdr>
        <w:top w:val="none" w:sz="0" w:space="0" w:color="auto"/>
        <w:left w:val="none" w:sz="0" w:space="0" w:color="auto"/>
        <w:bottom w:val="none" w:sz="0" w:space="0" w:color="auto"/>
        <w:right w:val="none" w:sz="0" w:space="0" w:color="auto"/>
      </w:divBdr>
    </w:div>
    <w:div w:id="21293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1C3E-546C-4EC4-8E87-2496ED34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7720</TotalTime>
  <Pages>66</Pages>
  <Words>24666</Words>
  <Characters>148000</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awardzinska</dc:creator>
  <cp:lastModifiedBy>Anna Wardzińska</cp:lastModifiedBy>
  <cp:revision>415</cp:revision>
  <cp:lastPrinted>2023-10-06T06:19:00Z</cp:lastPrinted>
  <dcterms:created xsi:type="dcterms:W3CDTF">2023-08-17T11:46:00Z</dcterms:created>
  <dcterms:modified xsi:type="dcterms:W3CDTF">2023-10-24T07:30:00Z</dcterms:modified>
</cp:coreProperties>
</file>