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OBWIESZCZENIE</w:t>
      </w:r>
      <w:r>
        <w:rPr>
          <w:rFonts w:ascii="Arial" w:hAnsi="Arial" w:cs="Arial"/>
          <w:b/>
          <w:sz w:val="16"/>
          <w:szCs w:val="16"/>
        </w:rPr>
      </w:r>
    </w:p>
    <w:p>
      <w:pPr>
        <w:pBdr/>
        <w:spacing w:after="0"/>
        <w:ind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Prezydent Miasta Tychy podaje </w:t>
      </w:r>
      <w:r>
        <w:rPr>
          <w:rFonts w:ascii="Arial" w:hAnsi="Arial" w:cs="Arial"/>
          <w:sz w:val="16"/>
          <w:szCs w:val="16"/>
        </w:rPr>
        <w:t xml:space="preserve">do publicznej</w:t>
      </w:r>
      <w:r>
        <w:rPr>
          <w:rFonts w:ascii="Arial" w:hAnsi="Arial" w:cs="Arial"/>
          <w:sz w:val="16"/>
          <w:szCs w:val="16"/>
        </w:rPr>
        <w:t xml:space="preserve"> wiadomości wykaz nieruchomości 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t xml:space="preserve">przeznaczonej do </w:t>
      </w:r>
      <w:r>
        <w:rPr>
          <w:rFonts w:ascii="Arial" w:hAnsi="Arial" w:cs="Arial"/>
          <w:sz w:val="16"/>
          <w:szCs w:val="16"/>
        </w:rPr>
        <w:t xml:space="preserve">bezprzetargowego wydzierżawienia</w:t>
      </w:r>
      <w:r>
        <w:rPr>
          <w:rFonts w:ascii="Arial" w:hAnsi="Arial" w:cs="Arial"/>
          <w:sz w:val="16"/>
          <w:szCs w:val="16"/>
        </w:rPr>
      </w:r>
    </w:p>
    <w:tbl>
      <w:tblPr>
        <w:tblStyle w:val="747"/>
        <w:tblInd w:w="-34" w:type="dxa"/>
        <w:tblW w:w="10002" w:type="dxa"/>
        <w:tblBorders/>
        <w:tblLook w:val="04A0" w:firstRow="1" w:lastRow="0" w:firstColumn="1" w:lastColumn="0" w:noHBand="0" w:noVBand="1"/>
      </w:tblPr>
      <w:tblGrid>
        <w:gridCol w:w="29"/>
        <w:gridCol w:w="4545"/>
        <w:gridCol w:w="5428"/>
      </w:tblGrid>
      <w:tr>
        <w:trPr>
          <w:gridBefore w:val="1"/>
          <w:trHeight w:val="698"/>
        </w:trPr>
        <w:tc>
          <w:tcPr>
            <w:gridSpan w:val="2"/>
            <w:shd w:val="clear" w:color="auto" w:fill="bfbfbf" w:themeFill="background1" w:themeFillShade="BF"/>
            <w:tcBorders>
              <w:bottom w:val="single" w:color="auto" w:sz="4" w:space="0"/>
            </w:tcBorders>
            <w:tcW w:w="997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OZNACZENIE NIERUCHOMOŚCI WEDŁUG KSIĘGI WIECZYSTEJ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ORAZ KATASTRU NIERUCHOMOŚCI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gridSpan w:val="2"/>
            <w:shd w:val="clear" w:color="auto" w:fill="d9d9d9" w:themeFill="background1" w:themeFillShade="D9"/>
            <w:tcBorders/>
            <w:tcW w:w="9973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/>
            <w:bookmarkStart w:id="0" w:name="_Hlk197515194"/>
            <w:r/>
            <w:bookmarkStart w:id="1" w:name="_Hlk197515118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WEDŁUG KATASTRU NIERUCHOMOŚCI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(GRUNT)</w:t>
            </w:r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Właściciel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Gmina Miasta Tychy</w:t>
            </w:r>
            <w:bookmarkEnd w:id="1"/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nr działki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610/13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identyfikator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247701_1.0001.AR_9.610/13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ulica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ul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</w:rPr>
              <w:t xml:space="preserve">Edukacji – Park Północny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powierzchnia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16,4095</w:t>
            </w:r>
            <w:r>
              <w:rPr>
                <w:rFonts w:ascii="Arial" w:hAnsi="Arial" w:cs="Arial"/>
                <w:sz w:val="16"/>
                <w:szCs w:val="16"/>
              </w:rPr>
              <w:t xml:space="preserve"> ha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obręb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Tychy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użytek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Wsr</w:t>
            </w:r>
            <w:r>
              <w:rPr>
                <w:rFonts w:ascii="Arial" w:hAnsi="Arial" w:cs="Arial"/>
                <w:sz w:val="16"/>
                <w:szCs w:val="16"/>
              </w:rPr>
              <w:t xml:space="preserve">-</w:t>
            </w:r>
            <w:r>
              <w:rPr>
                <w:rFonts w:ascii="Arial" w:hAnsi="Arial" w:cs="Arial"/>
                <w:sz w:val="16"/>
                <w:szCs w:val="16"/>
              </w:rPr>
              <w:t xml:space="preserve">ŁV, </w:t>
            </w:r>
            <w:r>
              <w:rPr>
                <w:rFonts w:ascii="Arial" w:hAnsi="Arial" w:cs="Arial"/>
                <w:sz w:val="16"/>
                <w:szCs w:val="16"/>
              </w:rPr>
              <w:t xml:space="preserve">Bz</w:t>
            </w:r>
            <w:r>
              <w:rPr>
                <w:rFonts w:ascii="Arial" w:hAnsi="Arial" w:cs="Arial"/>
                <w:sz w:val="16"/>
                <w:szCs w:val="16"/>
              </w:rPr>
              <w:t xml:space="preserve">, dr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>
              <w:bottom w:val="single" w:color="auto" w:sz="4" w:space="0"/>
            </w:tcBorders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arkusz mapy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bottom w:val="single" w:color="auto" w:sz="4" w:space="0"/>
            </w:tcBorders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9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gridSpan w:val="2"/>
            <w:shd w:val="clear" w:color="auto" w:fill="d9d9d9" w:themeFill="background1" w:themeFillShade="D9"/>
            <w:tcBorders/>
            <w:tcW w:w="9973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WEDŁUG KSIĘGI WIECZYSTEJ (GRUNT)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Właściciel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Gmina Miejska</w:t>
            </w:r>
            <w:r>
              <w:rPr>
                <w:rFonts w:ascii="Arial" w:hAnsi="Arial" w:cs="Arial"/>
                <w:sz w:val="16"/>
                <w:szCs w:val="16"/>
              </w:rPr>
              <w:t xml:space="preserve"> Tychy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nr działki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610/13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identyfikator działki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</w:rPr>
              <w:t xml:space="preserve">247701_1.0001.AR_9.610/13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obręb ewidencyjny (numer, nazwa)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tabs>
                <w:tab w:val="left" w:leader="none" w:pos="195"/>
              </w:tabs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  <w:t xml:space="preserve">247701_1.0001</w:t>
            </w:r>
            <w:r>
              <w:rPr>
                <w:rFonts w:ascii="Arial" w:hAnsi="Arial" w:cs="Arial"/>
                <w:sz w:val="16"/>
                <w:szCs w:val="16"/>
              </w:rPr>
              <w:t xml:space="preserve">, Tychy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położenie (numer porządkowy /województwo,  gmina, miejscowość)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śląskie,</w:t>
            </w:r>
            <w:r>
              <w:rPr>
                <w:rFonts w:ascii="Arial" w:hAnsi="Arial" w:cs="Arial"/>
                <w:sz w:val="16"/>
                <w:szCs w:val="16"/>
              </w:rPr>
              <w:t xml:space="preserve"> Tychy</w:t>
            </w:r>
            <w:r>
              <w:rPr>
                <w:rFonts w:ascii="Arial" w:hAnsi="Arial" w:cs="Arial"/>
                <w:sz w:val="16"/>
                <w:szCs w:val="16"/>
              </w:rPr>
              <w:t xml:space="preserve"> M., Tychy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ulica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ul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</w:rPr>
              <w:t xml:space="preserve">Edukacji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sposób korzystania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Bz</w:t>
            </w:r>
            <w:r>
              <w:rPr>
                <w:rFonts w:ascii="Arial" w:hAnsi="Arial" w:cs="Arial"/>
                <w:sz w:val="16"/>
                <w:szCs w:val="16"/>
              </w:rPr>
              <w:t xml:space="preserve">-tereny rekreacyjno</w:t>
            </w:r>
            <w:r>
              <w:rPr>
                <w:rFonts w:ascii="Arial" w:hAnsi="Arial" w:cs="Arial"/>
                <w:sz w:val="16"/>
                <w:szCs w:val="16"/>
              </w:rPr>
              <w:t xml:space="preserve">-wypoczynkowe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powierzchnia łączna księgi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19,9090 </w:t>
            </w:r>
            <w:r>
              <w:rPr>
                <w:rFonts w:ascii="Arial" w:hAnsi="Arial" w:cs="Arial"/>
                <w:sz w:val="16"/>
                <w:szCs w:val="16"/>
              </w:rPr>
              <w:t xml:space="preserve"> ha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/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ilość nieruchomości, dla których prowadzona jest księga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/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</w:t>
            </w:r>
            <w:r>
              <w:rPr>
                <w:rFonts w:ascii="Arial" w:hAnsi="Arial" w:cs="Arial"/>
                <w:sz w:val="16"/>
                <w:szCs w:val="16"/>
              </w:rPr>
              <w:t xml:space="preserve">4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>
          <w:gridBefore w:val="1"/>
        </w:trPr>
        <w:tc>
          <w:tcPr>
            <w:tcBorders>
              <w:bottom w:val="single" w:color="auto" w:sz="4" w:space="0"/>
            </w:tcBorders>
            <w:tcW w:w="4545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numer, pod którym wpisana jest działka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  <w:tc>
          <w:tcPr>
            <w:tcBorders>
              <w:bottom w:val="single" w:color="auto" w:sz="4" w:space="0"/>
            </w:tcBorders>
            <w:tcW w:w="5428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</w:t>
            </w:r>
            <w:r>
              <w:rPr>
                <w:rFonts w:ascii="Arial" w:hAnsi="Arial" w:cs="Arial"/>
                <w:sz w:val="16"/>
                <w:szCs w:val="16"/>
              </w:rPr>
              <w:t xml:space="preserve">8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shd w:val="clear" w:color="auto" w:fill="bfbfbf" w:themeFill="background1" w:themeFillShade="BF"/>
            <w:tcBorders/>
            <w:tcW w:w="10002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POWIERZCHNIA NIERUCHOMOŚCI DO WYDZIERŻAWIENIA</w: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</w:p>
        </w:tc>
      </w:tr>
      <w:tr>
        <w:trPr>
          <w:trHeight w:val="268"/>
        </w:trPr>
        <w:tc>
          <w:tcPr>
            <w:gridSpan w:val="3"/>
            <w:tcBorders/>
            <w:tcW w:w="10002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66165</w:t>
            </w:r>
            <w:r>
              <w:rPr>
                <w:rFonts w:ascii="Arial" w:hAnsi="Arial" w:cs="Arial"/>
                <w:sz w:val="16"/>
                <w:szCs w:val="16"/>
              </w:rPr>
              <w:t xml:space="preserve"> 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2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shd w:val="clear" w:color="auto" w:fill="bfbfbf" w:themeFill="background1" w:themeFillShade="BF"/>
            <w:tcBorders/>
            <w:tcW w:w="10002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OPIS NIERUCHOMOŚCI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tcBorders/>
            <w:tcW w:w="10002" w:type="dxa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Teren do dzierżawy stanowi dwa stawy w Parku </w:t>
            </w:r>
            <w:r>
              <w:rPr>
                <w:rFonts w:ascii="Arial" w:hAnsi="Arial" w:cs="Arial"/>
                <w:sz w:val="16"/>
                <w:szCs w:val="16"/>
              </w:rPr>
              <w:t xml:space="preserve">Suble</w:t>
            </w:r>
            <w:r>
              <w:rPr>
                <w:rFonts w:ascii="Arial" w:hAnsi="Arial" w:cs="Arial"/>
                <w:sz w:val="16"/>
                <w:szCs w:val="16"/>
              </w:rPr>
              <w:t xml:space="preserve">.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shd w:val="clear" w:color="auto" w:fill="bfbfbf" w:themeFill="background1" w:themeFillShade="BF"/>
            <w:tcBorders/>
            <w:tcW w:w="10002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PRZEZNACZENIE NIERUCHOMOŚCI I SPOSÓB JEJ ZAGOSPODAROWANIA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tcBorders/>
            <w:tcW w:w="10002" w:type="dxa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Wskazany fragment działki nr 610/13 przy ul.</w:t>
            </w:r>
            <w:r>
              <w:rPr>
                <w:rFonts w:ascii="Arial" w:hAnsi="Arial" w:cs="Arial"/>
                <w:sz w:val="16"/>
                <w:szCs w:val="16"/>
              </w:rPr>
              <w:t xml:space="preserve"> Edukacji, objęty jest Uchwałą </w:t>
            </w:r>
            <w:r>
              <w:rPr>
                <w:rFonts w:ascii="Arial" w:hAnsi="Arial" w:cs="Arial"/>
                <w:sz w:val="16"/>
                <w:szCs w:val="16"/>
              </w:rPr>
              <w:t xml:space="preserve">Nr XXXVI/745/13 Rady Miasta Tychy Rady Miasta </w:t>
            </w:r>
            <w:r>
              <w:rPr>
                <w:rFonts w:ascii="Arial" w:hAnsi="Arial" w:cs="Arial"/>
                <w:sz w:val="16"/>
                <w:szCs w:val="16"/>
              </w:rPr>
              <w:t xml:space="preserve">Tychy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z 28 listopada 2013 roku </w:t>
            </w:r>
            <w:r>
              <w:rPr>
                <w:rFonts w:ascii="Arial" w:hAnsi="Arial" w:cs="Arial"/>
                <w:sz w:val="16"/>
                <w:szCs w:val="16"/>
              </w:rPr>
              <w:t xml:space="preserve">w sprawie</w:t>
            </w:r>
            <w:r>
              <w:rPr>
                <w:rFonts w:ascii="Arial" w:hAnsi="Arial" w:cs="Arial"/>
                <w:sz w:val="16"/>
                <w:szCs w:val="16"/>
              </w:rPr>
              <w:t xml:space="preserve"> ustalenia miejscowego planu zagospodarowania przestrzennego dla obszaru obejmującego Park Północny w Tychach i położone są zgodnie z liniami rozgraniczającymi określonymi na rysunku planu w terenach wód powierzchniowych śródlądowych oznaczonych symbolami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4WS, 5WS i 6WS</w:t>
            </w:r>
            <w:r>
              <w:rPr>
                <w:rFonts w:ascii="Arial" w:hAnsi="Arial" w:cs="Arial"/>
                <w:sz w:val="16"/>
                <w:szCs w:val="16"/>
              </w:rPr>
              <w:t xml:space="preserve">.</w:t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shd w:val="clear" w:color="auto" w:fill="bfbfbf" w:themeFill="background1" w:themeFillShade="BF"/>
            <w:tcBorders/>
            <w:tcW w:w="10002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FORMA I CEL UDOSTĘPNIENIA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tcBorders/>
            <w:tcW w:w="10002" w:type="dxa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Bezprzetargowe wydzierżawienie </w:t>
            </w:r>
            <w:r>
              <w:rPr>
                <w:rFonts w:ascii="Arial" w:hAnsi="Arial" w:cs="Arial"/>
                <w:sz w:val="16"/>
                <w:szCs w:val="16"/>
              </w:rPr>
              <w:t xml:space="preserve">gruntu na cele </w:t>
            </w:r>
            <w:r>
              <w:rPr>
                <w:rFonts w:ascii="Arial" w:hAnsi="Arial" w:cs="Arial"/>
                <w:sz w:val="16"/>
                <w:szCs w:val="16"/>
              </w:rPr>
              <w:t xml:space="preserve">staw</w:t>
            </w:r>
            <w:r>
              <w:rPr>
                <w:rFonts w:ascii="Arial" w:hAnsi="Arial" w:cs="Arial"/>
                <w:sz w:val="16"/>
                <w:szCs w:val="16"/>
              </w:rPr>
              <w:t xml:space="preserve">u</w:t>
            </w:r>
            <w:r>
              <w:rPr>
                <w:rFonts w:ascii="Arial" w:hAnsi="Arial" w:cs="Arial"/>
                <w:sz w:val="16"/>
                <w:szCs w:val="16"/>
              </w:rPr>
              <w:t xml:space="preserve"> – cele określone statutem związku wędkarskiego w tym, w szczegól</w:t>
            </w:r>
            <w:r>
              <w:rPr>
                <w:rFonts w:ascii="Arial" w:hAnsi="Arial" w:cs="Arial"/>
                <w:sz w:val="16"/>
                <w:szCs w:val="16"/>
              </w:rPr>
              <w:t xml:space="preserve">ności racjonalnego użytkowania </w:t>
            </w:r>
            <w:r>
              <w:rPr>
                <w:rFonts w:ascii="Arial" w:hAnsi="Arial" w:cs="Arial"/>
                <w:sz w:val="16"/>
                <w:szCs w:val="16"/>
              </w:rPr>
              <w:t xml:space="preserve">i ochrony przyrody na cele rekreacyjne</w:t>
            </w:r>
            <w:r>
              <w:rPr>
                <w:rFonts w:ascii="Arial" w:hAnsi="Arial" w:cs="Arial"/>
                <w:sz w:val="16"/>
                <w:szCs w:val="16"/>
              </w:rPr>
              <w:t xml:space="preserve"> o pow. </w:t>
            </w:r>
            <w:r>
              <w:rPr>
                <w:rFonts w:ascii="Arial" w:hAnsi="Arial" w:cs="Arial"/>
                <w:sz w:val="16"/>
                <w:szCs w:val="16"/>
              </w:rPr>
              <w:t xml:space="preserve">66165</w:t>
            </w:r>
            <w:r>
              <w:rPr>
                <w:rFonts w:ascii="Arial" w:hAnsi="Arial" w:cs="Arial"/>
                <w:sz w:val="16"/>
                <w:szCs w:val="16"/>
              </w:rPr>
              <w:t xml:space="preserve"> m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2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na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okres 5 lat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na rzecz </w:t>
            </w:r>
            <w:r>
              <w:rPr>
                <w:rFonts w:ascii="Arial" w:hAnsi="Arial" w:cs="Arial"/>
                <w:sz w:val="16"/>
                <w:szCs w:val="16"/>
              </w:rPr>
              <w:t xml:space="preserve">dotychczasowego dzierżawcy</w:t>
            </w:r>
            <w:r>
              <w:rPr>
                <w:rFonts w:ascii="Arial" w:hAnsi="Arial" w:cs="Arial"/>
                <w:sz w:val="16"/>
                <w:szCs w:val="16"/>
              </w:rPr>
              <w:t xml:space="preserve">.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shd w:val="clear" w:color="auto" w:fill="bfbfbf" w:themeFill="background1" w:themeFillShade="BF"/>
            <w:tcBorders/>
            <w:tcW w:w="10002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WYSOKOŚĆ OPŁAT Z TYTUŁU DZIERŻAWY</w:t>
            </w:r>
            <w:r>
              <w:rPr>
                <w:rFonts w:ascii="Arial" w:hAnsi="Arial" w:cs="Arial"/>
                <w:b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tcBorders/>
            <w:tcW w:w="10002" w:type="dxa"/>
            <w:vAlign w:val="center"/>
          </w:tcPr>
          <w:p>
            <w:pPr>
              <w:pBdr/>
              <w:spacing/>
              <w:ind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Stawka czynszu dzierżawnego na cele </w:t>
            </w:r>
            <w:r>
              <w:rPr>
                <w:rFonts w:ascii="Arial" w:hAnsi="Arial" w:cs="Arial"/>
                <w:sz w:val="16"/>
                <w:szCs w:val="16"/>
              </w:rPr>
              <w:t xml:space="preserve">stawu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wynosi </w:t>
            </w:r>
            <w:r>
              <w:rPr>
                <w:rFonts w:ascii="Arial" w:hAnsi="Arial" w:cs="Arial"/>
                <w:sz w:val="16"/>
                <w:szCs w:val="16"/>
              </w:rPr>
              <w:t xml:space="preserve">netto </w:t>
            </w:r>
            <w:r>
              <w:rPr>
                <w:rFonts w:ascii="Arial" w:hAnsi="Arial" w:cs="Arial"/>
                <w:sz w:val="16"/>
                <w:szCs w:val="16"/>
              </w:rPr>
              <w:t xml:space="preserve">0,11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zł</w:t>
            </w:r>
            <w:r>
              <w:rPr>
                <w:rFonts w:ascii="Arial" w:hAnsi="Arial" w:cs="Arial"/>
                <w:sz w:val="16"/>
                <w:szCs w:val="16"/>
              </w:rPr>
              <w:t xml:space="preserve"> plus 23 %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podatek VAT za 1 m</w:t>
            </w:r>
            <w:r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 xml:space="preserve">2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w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stosunku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rocznym.</w:t>
            </w:r>
            <w:r>
              <w:rPr>
                <w:rFonts w:ascii="Arial" w:hAnsi="Arial" w:cs="Arial"/>
                <w:bCs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shd w:val="clear" w:color="auto" w:fill="bfbfbf" w:themeFill="background1" w:themeFillShade="BF"/>
            <w:tcBorders/>
            <w:tcW w:w="10002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TERMINY WNOSZENIA CZYNSZU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tcBorders/>
            <w:tcW w:w="10002" w:type="dxa"/>
          </w:tcPr>
          <w:p>
            <w:pPr>
              <w:pBdr/>
              <w:spacing/>
              <w:ind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Czynsz</w:t>
            </w:r>
            <w:r>
              <w:rPr>
                <w:rFonts w:ascii="Arial" w:hAnsi="Arial" w:cs="Arial"/>
                <w:sz w:val="16"/>
                <w:szCs w:val="16"/>
              </w:rPr>
              <w:t xml:space="preserve"> z tytułu dzierżawy gruntu </w:t>
            </w:r>
            <w:r>
              <w:rPr>
                <w:rFonts w:ascii="Arial" w:hAnsi="Arial" w:cs="Arial"/>
                <w:sz w:val="16"/>
                <w:szCs w:val="16"/>
              </w:rPr>
              <w:t xml:space="preserve">płatny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do 30 kwietnia każdego roku.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shd w:val="clear" w:color="auto" w:fill="bfbfbf" w:themeFill="background1" w:themeFillShade="BF"/>
            <w:tcBorders/>
            <w:tcW w:w="10002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ZASADY AKTUALIZACJI OPŁAT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/>
        <w:tc>
          <w:tcPr>
            <w:gridSpan w:val="3"/>
            <w:tcBorders/>
            <w:tcW w:w="10002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Oświadczenie Wydzierżawiającego wydane na podstawie Zarządzenia Prezydenta Miasta.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</w:tbl>
    <w:tbl>
      <w:tblPr>
        <w:tblStyle w:val="747"/>
        <w:tblW w:w="10031" w:type="dxa"/>
        <w:tblBorders/>
        <w:tblpPr w:horzAnchor="text" w:tblpXSpec="left" w:vertAnchor="text" w:tblpY="247" w:leftFromText="141" w:topFromText="0" w:rightFromText="141" w:bottomFromText="0"/>
        <w:tblLook w:val="04A0" w:firstRow="1" w:lastRow="0" w:firstColumn="1" w:lastColumn="0" w:noHBand="0" w:noVBand="1"/>
      </w:tblPr>
      <w:tblGrid>
        <w:gridCol w:w="10031"/>
      </w:tblGrid>
      <w:tr>
        <w:trPr/>
        <w:tc>
          <w:tcPr>
            <w:shd w:val="clear" w:color="auto" w:fill="bfbfbf" w:themeFill="background1" w:themeFillShade="BF"/>
            <w:tcBorders/>
            <w:tcW w:w="10031" w:type="dxa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DODATKOWE INFORMACJE O OPŁATACH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>
        <w:trPr/>
        <w:tc>
          <w:tcPr>
            <w:tcBorders/>
            <w:tcW w:w="10031" w:type="dxa"/>
          </w:tcPr>
          <w:p>
            <w:pPr>
              <w:pStyle w:val="742"/>
              <w:numPr>
                <w:ilvl w:val="0"/>
                <w:numId w:val="1"/>
              </w:numPr>
              <w:pBdr/>
              <w:spacing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 przypadku uzyskania przez dzierżawców nieruchomości zgody na ich poddzierżawę, następuje podwyższenie </w:t>
            </w:r>
            <w:r>
              <w:rPr>
                <w:rFonts w:ascii="Arial" w:hAnsi="Arial" w:cs="Arial"/>
                <w:sz w:val="16"/>
                <w:szCs w:val="16"/>
              </w:rPr>
              <w:t xml:space="preserve">stawki czynszu o 50%;</w:t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42"/>
              <w:numPr>
                <w:ilvl w:val="0"/>
                <w:numId w:val="1"/>
              </w:numPr>
              <w:pBdr/>
              <w:spacing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Kwota czynszu z tytułu dzierżawy nie może być niższa niż 100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,00 zł netto w stosunku rocznym;</w:t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42"/>
              <w:numPr>
                <w:ilvl w:val="0"/>
                <w:numId w:val="1"/>
              </w:numPr>
              <w:pBdr/>
              <w:spacing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 przypadku, gdy łączna kwota czynszu dzierżawnego w skali roku wynosi 100,00 zł czynsz płatny jest jednorazowo </w:t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w terminie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do 30 kwietnia każdego roku;</w:t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42"/>
              <w:numPr>
                <w:ilvl w:val="0"/>
                <w:numId w:val="1"/>
              </w:numPr>
              <w:pBdr/>
              <w:spacing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Czynsz na cele ogródka letniego naliczany jest w okresie od 15 kwietnia do 15 października każdego roku.</w:t>
            </w:r>
            <w:r>
              <w:rPr>
                <w:rFonts w:ascii="Arial" w:hAnsi="Arial" w:cs="Arial"/>
                <w:sz w:val="16"/>
                <w:szCs w:val="16"/>
              </w:rPr>
            </w:r>
          </w:p>
          <w:p>
            <w:pPr>
              <w:pStyle w:val="742"/>
              <w:numPr>
                <w:ilvl w:val="0"/>
                <w:numId w:val="1"/>
              </w:numPr>
              <w:pBdr/>
              <w:spacing/>
              <w:ind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S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tawka czynszu została ustalona na podstawie Zarządzenia Nr 0050/397/24 Prezydenta Miasta Tychy z dnia 18 listopada </w:t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2024 roku w sprawie wysokości stawek czynszu za dzierżawę / najem nieruchomości gruntowych stanowiących własność </w:t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/ użytkowanie wieczyste Gminy Miasta Tychy oraz opłat za korzystanie z nieruchomości gruntowych Gminy Miasta Tychy </w:t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bez tytułu prawnego wraz z załącznikami nr 1-5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 z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późn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. zm.)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.</w:t>
            </w: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</w:tbl>
    <w:p>
      <w:pPr>
        <w:pBdr/>
        <w:spacing/>
        <w:ind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PODSTAWA PRAWNA</w:t>
      </w:r>
      <w:r>
        <w:rPr>
          <w:rFonts w:ascii="Arial" w:hAnsi="Arial" w:cs="Arial"/>
          <w:b/>
          <w:bCs/>
          <w:i/>
          <w:iCs/>
          <w:sz w:val="16"/>
          <w:szCs w:val="16"/>
        </w:rPr>
      </w:r>
    </w:p>
    <w:p>
      <w:pPr>
        <w:pBdr/>
        <w:spacing/>
        <w:ind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Art. 35 </w:t>
      </w:r>
      <w:r>
        <w:rPr>
          <w:rFonts w:ascii="Arial" w:hAnsi="Arial" w:cs="Arial"/>
          <w:i/>
          <w:iCs/>
          <w:sz w:val="16"/>
          <w:szCs w:val="16"/>
        </w:rPr>
        <w:t xml:space="preserve">ustawy z 21 sierpnia 1997 roku o gospodarce</w:t>
      </w:r>
      <w:r>
        <w:rPr>
          <w:rFonts w:ascii="Arial" w:hAnsi="Arial" w:cs="Arial"/>
          <w:i/>
          <w:iCs/>
          <w:sz w:val="16"/>
          <w:szCs w:val="16"/>
        </w:rPr>
        <w:t xml:space="preserve"> nieruchomościami (Dz. U. z 2026</w:t>
      </w:r>
      <w:r>
        <w:rPr>
          <w:rFonts w:ascii="Arial" w:hAnsi="Arial" w:cs="Arial"/>
          <w:i/>
          <w:iCs/>
          <w:sz w:val="16"/>
          <w:szCs w:val="16"/>
        </w:rPr>
        <w:t xml:space="preserve">, poz. </w:t>
      </w:r>
      <w:r>
        <w:rPr>
          <w:rFonts w:ascii="Arial" w:hAnsi="Arial" w:cs="Arial"/>
          <w:i/>
          <w:iCs/>
          <w:sz w:val="16"/>
          <w:szCs w:val="16"/>
        </w:rPr>
        <w:t xml:space="preserve">399 z </w:t>
      </w:r>
      <w:r>
        <w:rPr>
          <w:rFonts w:ascii="Arial" w:hAnsi="Arial" w:cs="Arial"/>
          <w:i/>
          <w:iCs/>
          <w:sz w:val="16"/>
          <w:szCs w:val="16"/>
        </w:rPr>
        <w:t xml:space="preserve">późn</w:t>
      </w:r>
      <w:r>
        <w:rPr>
          <w:rFonts w:ascii="Arial" w:hAnsi="Arial" w:cs="Arial"/>
          <w:i/>
          <w:iCs/>
          <w:sz w:val="16"/>
          <w:szCs w:val="16"/>
        </w:rPr>
        <w:t xml:space="preserve">. zm.</w:t>
      </w:r>
      <w:r>
        <w:rPr>
          <w:rFonts w:ascii="Arial" w:hAnsi="Arial" w:cs="Arial"/>
          <w:i/>
          <w:iCs/>
          <w:sz w:val="16"/>
          <w:szCs w:val="16"/>
        </w:rPr>
        <w:t xml:space="preserve">)</w:t>
      </w:r>
      <w:r>
        <w:rPr>
          <w:rFonts w:ascii="Arial" w:hAnsi="Arial" w:cs="Arial"/>
          <w:sz w:val="16"/>
          <w:szCs w:val="16"/>
        </w:rPr>
      </w:r>
    </w:p>
    <w:p>
      <w:pPr>
        <w:pBdr/>
        <w:spacing/>
        <w:ind w:right="-425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Właściwy organ sporządza i podaje do publicznej wiadomości wykaz nieruchomości przeznaczonych do zbycia lub oddania </w:t>
      </w:r>
      <w:r>
        <w:rPr>
          <w:rFonts w:ascii="Arial" w:hAnsi="Arial" w:cs="Arial"/>
          <w:i/>
          <w:iCs/>
          <w:sz w:val="16"/>
          <w:szCs w:val="16"/>
        </w:rPr>
        <w:br/>
      </w:r>
      <w:r>
        <w:rPr>
          <w:rFonts w:ascii="Arial" w:hAnsi="Arial" w:cs="Arial"/>
          <w:i/>
          <w:iCs/>
          <w:sz w:val="16"/>
          <w:szCs w:val="16"/>
        </w:rPr>
        <w:t xml:space="preserve">w użytkowanie, najem, dzierżawę lub użyczenie. Wykaz ten wywiesza się na okres 21 dni w siedzibie właściwego urzędu, </w:t>
      </w:r>
      <w:r>
        <w:rPr>
          <w:rFonts w:ascii="Arial" w:hAnsi="Arial" w:cs="Arial"/>
          <w:i/>
          <w:iCs/>
          <w:sz w:val="16"/>
          <w:szCs w:val="16"/>
        </w:rPr>
        <w:t xml:space="preserve">                                 </w:t>
      </w:r>
      <w:r>
        <w:rPr>
          <w:rFonts w:ascii="Arial" w:hAnsi="Arial" w:cs="Arial"/>
          <w:i/>
          <w:iCs/>
          <w:sz w:val="16"/>
          <w:szCs w:val="16"/>
        </w:rPr>
        <w:t xml:space="preserve">a także zamieszcza się na stronach internetowych właściwego urzędu. Starosta, wykonujący zadanie z zakresu administracji rządowej, pr</w:t>
      </w:r>
      <w:r>
        <w:rPr>
          <w:rFonts w:ascii="Arial" w:hAnsi="Arial" w:cs="Arial"/>
          <w:i/>
          <w:iCs/>
          <w:sz w:val="16"/>
          <w:szCs w:val="16"/>
        </w:rPr>
        <w:t xml:space="preserve">zekazuje wykaz wojewodzie, w celu jego zamieszczenia na stronie podmiotowej wojewody w Biuletynie Informacji Publicznej przez okres 21 dni. Informację o zamieszczeniu wykazu właściwy organ podaje do publicznej wiadomości przez ogłoszenie w prasie lokalnej </w:t>
      </w:r>
      <w:r>
        <w:rPr>
          <w:rFonts w:ascii="Arial" w:hAnsi="Arial" w:cs="Arial"/>
          <w:i/>
          <w:iCs/>
          <w:sz w:val="16"/>
          <w:szCs w:val="16"/>
        </w:rPr>
        <w:br/>
      </w:r>
      <w:r>
        <w:rPr>
          <w:rFonts w:ascii="Arial" w:hAnsi="Arial" w:cs="Arial"/>
          <w:i/>
          <w:iCs/>
          <w:sz w:val="16"/>
          <w:szCs w:val="16"/>
        </w:rPr>
        <w:t xml:space="preserve">o zasięgu obejmującym co najmniej powiat, na terenie którego położona jest nieruchomość.</w:t>
      </w:r>
      <w:r>
        <w:rPr>
          <w:rFonts w:ascii="Arial" w:hAnsi="Arial" w:cs="Arial"/>
          <w:i/>
          <w:iCs/>
          <w:sz w:val="16"/>
          <w:szCs w:val="16"/>
        </w:rPr>
      </w:r>
    </w:p>
    <w:p>
      <w:pPr>
        <w:pBdr/>
        <w:spacing/>
        <w:ind w:left="3540"/>
        <w:jc w:val="center"/>
        <w:rPr>
          <w:rFonts w:ascii="Aptos" w:hAnsi="Aptos" w:eastAsia="Aptos" w:cs="Times New Roman"/>
          <w:sz w:val="18"/>
          <w:szCs w:val="18"/>
        </w:rPr>
      </w:pPr>
      <w:r/>
      <w:bookmarkStart w:id="2" w:name="_GoBack"/>
      <w:r>
        <w:rPr>
          <w:rFonts w:ascii="Aptos" w:hAnsi="Aptos" w:eastAsia="Aptos" w:cs="Times New Roman"/>
          <w:sz w:val="18"/>
          <w:szCs w:val="18"/>
        </w:rPr>
        <w:t xml:space="preserve">z up. PREZYDENTA MIASTA</w:t>
      </w:r>
      <w:r>
        <w:rPr>
          <w:rFonts w:ascii="Aptos" w:hAnsi="Aptos" w:eastAsia="Aptos" w:cs="Times New Roman"/>
          <w:sz w:val="18"/>
          <w:szCs w:val="18"/>
        </w:rPr>
        <w:br/>
      </w:r>
      <w:r>
        <w:rPr>
          <w:rFonts w:ascii="Aptos" w:hAnsi="Aptos" w:eastAsia="Aptos" w:cs="Times New Roman"/>
          <w:sz w:val="18"/>
          <w:szCs w:val="18"/>
        </w:rPr>
        <w:br/>
        <w:t xml:space="preserve">Kinga Karbowska</w:t>
      </w:r>
      <w:r>
        <w:rPr>
          <w:rFonts w:ascii="Aptos" w:hAnsi="Aptos" w:eastAsia="Aptos" w:cs="Times New Roman"/>
          <w:sz w:val="18"/>
          <w:szCs w:val="18"/>
        </w:rPr>
        <w:br/>
        <w:t xml:space="preserve">Kierownik Referatu </w:t>
      </w:r>
      <w:r>
        <w:rPr>
          <w:rFonts w:ascii="Aptos" w:hAnsi="Aptos" w:eastAsia="Aptos" w:cs="Times New Roman"/>
          <w:sz w:val="18"/>
          <w:szCs w:val="18"/>
        </w:rPr>
        <w:br/>
        <w:t xml:space="preserve">Gospodarowania Nieruchomościami</w:t>
      </w:r>
      <w:bookmarkEnd w:id="2"/>
      <w:r>
        <w:rPr>
          <w:rFonts w:ascii="Aptos" w:hAnsi="Aptos" w:eastAsia="Aptos" w:cs="Times New Roman"/>
          <w:sz w:val="18"/>
          <w:szCs w:val="18"/>
        </w:rPr>
      </w:r>
    </w:p>
    <w:p>
      <w:pPr>
        <w:pBdr/>
        <w:spacing/>
        <w:ind/>
        <w:jc w:val="both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sz w:val="16"/>
          <w:szCs w:val="18"/>
        </w:rPr>
      </w:r>
      <w:r>
        <w:rPr>
          <w:rFonts w:ascii="Arial" w:hAnsi="Arial" w:cs="Arial"/>
          <w:sz w:val="16"/>
          <w:szCs w:val="18"/>
        </w:rPr>
      </w:r>
    </w:p>
    <w:p>
      <w:pPr>
        <w:pBdr/>
        <w:spacing/>
        <w:ind/>
        <w:jc w:val="both"/>
        <w:rPr>
          <w:rFonts w:ascii="Arial" w:hAnsi="Arial" w:cs="Arial"/>
          <w:sz w:val="14"/>
          <w:szCs w:val="12"/>
        </w:rPr>
      </w:pPr>
      <w:r>
        <w:rPr>
          <w:rFonts w:ascii="Arial" w:hAnsi="Arial" w:cs="Arial"/>
          <w:sz w:val="14"/>
          <w:szCs w:val="12"/>
        </w:rPr>
        <w:t xml:space="preserve">Sporz</w:t>
      </w:r>
      <w:r>
        <w:rPr>
          <w:rFonts w:ascii="Arial" w:hAnsi="Arial" w:cs="Arial"/>
          <w:sz w:val="14"/>
          <w:szCs w:val="12"/>
        </w:rPr>
        <w:t xml:space="preserve">. M</w:t>
      </w:r>
      <w:r>
        <w:rPr>
          <w:rFonts w:ascii="Arial" w:hAnsi="Arial" w:cs="Arial"/>
          <w:sz w:val="14"/>
          <w:szCs w:val="12"/>
        </w:rPr>
        <w:t xml:space="preserve">. </w:t>
      </w:r>
      <w:r>
        <w:rPr>
          <w:rFonts w:ascii="Arial" w:hAnsi="Arial" w:cs="Arial"/>
          <w:sz w:val="14"/>
          <w:szCs w:val="12"/>
        </w:rPr>
        <w:t xml:space="preserve">Rzemińska</w:t>
      </w:r>
      <w:r>
        <w:rPr>
          <w:rFonts w:ascii="Arial" w:hAnsi="Arial" w:cs="Arial"/>
          <w:sz w:val="14"/>
          <w:szCs w:val="12"/>
        </w:rPr>
      </w:r>
    </w:p>
    <w:sectPr>
      <w:footnotePr/>
      <w:endnotePr/>
      <w:type w:val="nextPage"/>
      <w:pgSz w:h="16838" w:orient="portrait" w:w="11906"/>
      <w:pgMar w:top="284" w:right="1133" w:bottom="426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ptos"/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FD5B31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34C51D89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3F77039F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421B469D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562A464D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6D84283A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7EBA0237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2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2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2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2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2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2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724"/>
    <w:link w:val="71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24"/>
    <w:link w:val="71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24"/>
    <w:link w:val="71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24"/>
    <w:link w:val="71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24"/>
    <w:link w:val="7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24"/>
    <w:link w:val="72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24"/>
    <w:link w:val="72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24"/>
    <w:link w:val="72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24"/>
    <w:link w:val="72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24"/>
    <w:link w:val="73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24"/>
    <w:link w:val="7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24"/>
    <w:link w:val="74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24"/>
    <w:link w:val="744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71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2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1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724"/>
    <w:link w:val="176"/>
    <w:uiPriority w:val="99"/>
    <w:pPr>
      <w:pBdr/>
      <w:spacing/>
      <w:ind/>
    </w:pPr>
  </w:style>
  <w:style w:type="paragraph" w:styleId="178">
    <w:name w:val="Footer"/>
    <w:basedOn w:val="71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724"/>
    <w:link w:val="178"/>
    <w:uiPriority w:val="99"/>
    <w:pPr>
      <w:pBdr/>
      <w:spacing/>
      <w:ind/>
    </w:pPr>
  </w:style>
  <w:style w:type="paragraph" w:styleId="180">
    <w:name w:val="Caption"/>
    <w:basedOn w:val="714"/>
    <w:next w:val="71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1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2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24"/>
    <w:uiPriority w:val="99"/>
    <w:semiHidden/>
    <w:unhideWhenUsed/>
    <w:pPr>
      <w:pBdr/>
      <w:spacing/>
      <w:ind/>
    </w:pPr>
    <w:rPr>
      <w:vertAlign w:val="superscript"/>
    </w:rPr>
  </w:style>
  <w:style w:type="character" w:styleId="185">
    <w:name w:val="Endnote Text Char"/>
    <w:basedOn w:val="724"/>
    <w:link w:val="750"/>
    <w:uiPriority w:val="99"/>
    <w:semiHidden/>
    <w:pPr>
      <w:pBdr/>
      <w:spacing/>
      <w:ind/>
    </w:pPr>
    <w:rPr>
      <w:sz w:val="20"/>
      <w:szCs w:val="20"/>
    </w:rPr>
  </w:style>
  <w:style w:type="character" w:styleId="188">
    <w:name w:val="FollowedHyperlink"/>
    <w:basedOn w:val="72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4"/>
    <w:next w:val="714"/>
    <w:uiPriority w:val="39"/>
    <w:unhideWhenUsed/>
    <w:pPr>
      <w:pBdr/>
      <w:spacing w:after="100"/>
      <w:ind/>
    </w:pPr>
  </w:style>
  <w:style w:type="paragraph" w:styleId="190">
    <w:name w:val="toc 2"/>
    <w:basedOn w:val="714"/>
    <w:next w:val="714"/>
    <w:uiPriority w:val="39"/>
    <w:unhideWhenUsed/>
    <w:pPr>
      <w:pBdr/>
      <w:spacing w:after="100"/>
      <w:ind w:left="220"/>
    </w:pPr>
  </w:style>
  <w:style w:type="paragraph" w:styleId="191">
    <w:name w:val="toc 3"/>
    <w:basedOn w:val="714"/>
    <w:next w:val="714"/>
    <w:uiPriority w:val="39"/>
    <w:unhideWhenUsed/>
    <w:pPr>
      <w:pBdr/>
      <w:spacing w:after="100"/>
      <w:ind w:left="440"/>
    </w:pPr>
  </w:style>
  <w:style w:type="paragraph" w:styleId="192">
    <w:name w:val="toc 4"/>
    <w:basedOn w:val="714"/>
    <w:next w:val="714"/>
    <w:uiPriority w:val="39"/>
    <w:unhideWhenUsed/>
    <w:pPr>
      <w:pBdr/>
      <w:spacing w:after="100"/>
      <w:ind w:left="660"/>
    </w:pPr>
  </w:style>
  <w:style w:type="paragraph" w:styleId="193">
    <w:name w:val="toc 5"/>
    <w:basedOn w:val="714"/>
    <w:next w:val="714"/>
    <w:uiPriority w:val="39"/>
    <w:unhideWhenUsed/>
    <w:pPr>
      <w:pBdr/>
      <w:spacing w:after="100"/>
      <w:ind w:left="880"/>
    </w:pPr>
  </w:style>
  <w:style w:type="paragraph" w:styleId="194">
    <w:name w:val="toc 6"/>
    <w:basedOn w:val="714"/>
    <w:next w:val="714"/>
    <w:uiPriority w:val="39"/>
    <w:unhideWhenUsed/>
    <w:pPr>
      <w:pBdr/>
      <w:spacing w:after="100"/>
      <w:ind w:left="1100"/>
    </w:pPr>
  </w:style>
  <w:style w:type="paragraph" w:styleId="195">
    <w:name w:val="toc 7"/>
    <w:basedOn w:val="714"/>
    <w:next w:val="714"/>
    <w:uiPriority w:val="39"/>
    <w:unhideWhenUsed/>
    <w:pPr>
      <w:pBdr/>
      <w:spacing w:after="100"/>
      <w:ind w:left="1320"/>
    </w:pPr>
  </w:style>
  <w:style w:type="paragraph" w:styleId="196">
    <w:name w:val="toc 8"/>
    <w:basedOn w:val="714"/>
    <w:next w:val="714"/>
    <w:uiPriority w:val="39"/>
    <w:unhideWhenUsed/>
    <w:pPr>
      <w:pBdr/>
      <w:spacing w:after="100"/>
      <w:ind w:left="1540"/>
    </w:pPr>
  </w:style>
  <w:style w:type="paragraph" w:styleId="197">
    <w:name w:val="toc 9"/>
    <w:basedOn w:val="714"/>
    <w:next w:val="71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2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4"/>
    <w:next w:val="714"/>
    <w:uiPriority w:val="99"/>
    <w:unhideWhenUsed/>
    <w:pPr>
      <w:pBdr/>
      <w:spacing w:after="0" w:afterAutospacing="0"/>
      <w:ind/>
    </w:pPr>
  </w:style>
  <w:style w:type="paragraph" w:styleId="714" w:default="1">
    <w:name w:val="Normal"/>
    <w:qFormat/>
    <w:pPr>
      <w:pBdr/>
      <w:spacing/>
      <w:ind/>
    </w:pPr>
  </w:style>
  <w:style w:type="paragraph" w:styleId="715">
    <w:name w:val="Heading 1"/>
    <w:basedOn w:val="714"/>
    <w:next w:val="714"/>
    <w:link w:val="72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716">
    <w:name w:val="Heading 2"/>
    <w:basedOn w:val="714"/>
    <w:next w:val="714"/>
    <w:link w:val="728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17">
    <w:name w:val="Heading 3"/>
    <w:basedOn w:val="714"/>
    <w:next w:val="714"/>
    <w:link w:val="729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18">
    <w:name w:val="Heading 4"/>
    <w:basedOn w:val="714"/>
    <w:next w:val="714"/>
    <w:link w:val="730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19">
    <w:name w:val="Heading 5"/>
    <w:basedOn w:val="714"/>
    <w:next w:val="714"/>
    <w:link w:val="731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720">
    <w:name w:val="Heading 6"/>
    <w:basedOn w:val="714"/>
    <w:next w:val="714"/>
    <w:link w:val="732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21">
    <w:name w:val="Heading 7"/>
    <w:basedOn w:val="714"/>
    <w:next w:val="714"/>
    <w:link w:val="733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22">
    <w:name w:val="Heading 8"/>
    <w:basedOn w:val="714"/>
    <w:next w:val="714"/>
    <w:link w:val="734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23">
    <w:name w:val="Heading 9"/>
    <w:basedOn w:val="714"/>
    <w:next w:val="714"/>
    <w:link w:val="735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24" w:default="1">
    <w:name w:val="Default Paragraph Font"/>
    <w:uiPriority w:val="1"/>
    <w:semiHidden/>
    <w:unhideWhenUsed/>
    <w:pPr>
      <w:pBdr/>
      <w:spacing/>
      <w:ind/>
    </w:pPr>
  </w:style>
  <w:style w:type="table" w:styleId="72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6" w:default="1">
    <w:name w:val="No List"/>
    <w:uiPriority w:val="99"/>
    <w:semiHidden/>
    <w:unhideWhenUsed/>
    <w:pPr>
      <w:pBdr/>
      <w:spacing/>
      <w:ind/>
    </w:pPr>
  </w:style>
  <w:style w:type="character" w:styleId="727" w:customStyle="1">
    <w:name w:val="Nagłówek 1 Znak"/>
    <w:basedOn w:val="724"/>
    <w:link w:val="715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728" w:customStyle="1">
    <w:name w:val="Nagłówek 2 Znak"/>
    <w:basedOn w:val="724"/>
    <w:link w:val="71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729" w:customStyle="1">
    <w:name w:val="Nagłówek 3 Znak"/>
    <w:basedOn w:val="724"/>
    <w:link w:val="717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30" w:customStyle="1">
    <w:name w:val="Nagłówek 4 Znak"/>
    <w:basedOn w:val="724"/>
    <w:link w:val="718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31" w:customStyle="1">
    <w:name w:val="Nagłówek 5 Znak"/>
    <w:basedOn w:val="724"/>
    <w:link w:val="719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32" w:customStyle="1">
    <w:name w:val="Nagłówek 6 Znak"/>
    <w:basedOn w:val="724"/>
    <w:link w:val="720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33" w:customStyle="1">
    <w:name w:val="Nagłówek 7 Znak"/>
    <w:basedOn w:val="724"/>
    <w:link w:val="721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34" w:customStyle="1">
    <w:name w:val="Nagłówek 8 Znak"/>
    <w:basedOn w:val="724"/>
    <w:link w:val="722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35" w:customStyle="1">
    <w:name w:val="Nagłówek 9 Znak"/>
    <w:basedOn w:val="724"/>
    <w:link w:val="723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36">
    <w:name w:val="Title"/>
    <w:basedOn w:val="714"/>
    <w:next w:val="714"/>
    <w:link w:val="737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37" w:customStyle="1">
    <w:name w:val="Tytuł Znak"/>
    <w:basedOn w:val="724"/>
    <w:link w:val="736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38">
    <w:name w:val="Subtitle"/>
    <w:basedOn w:val="714"/>
    <w:next w:val="714"/>
    <w:link w:val="739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39" w:customStyle="1">
    <w:name w:val="Podtytuł Znak"/>
    <w:basedOn w:val="724"/>
    <w:link w:val="738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40">
    <w:name w:val="Quote"/>
    <w:basedOn w:val="714"/>
    <w:next w:val="714"/>
    <w:link w:val="74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41" w:customStyle="1">
    <w:name w:val="Cytat Znak"/>
    <w:basedOn w:val="724"/>
    <w:link w:val="74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42">
    <w:name w:val="List Paragraph"/>
    <w:basedOn w:val="714"/>
    <w:uiPriority w:val="34"/>
    <w:qFormat/>
    <w:pPr>
      <w:pBdr/>
      <w:spacing/>
      <w:ind w:left="720"/>
      <w:contextualSpacing w:val="true"/>
    </w:pPr>
  </w:style>
  <w:style w:type="character" w:styleId="743">
    <w:name w:val="Intense Emphasis"/>
    <w:basedOn w:val="72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44">
    <w:name w:val="Intense Quote"/>
    <w:basedOn w:val="714"/>
    <w:next w:val="714"/>
    <w:link w:val="74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45" w:customStyle="1">
    <w:name w:val="Cytat intensywny Znak"/>
    <w:basedOn w:val="724"/>
    <w:link w:val="74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46">
    <w:name w:val="Intense Reference"/>
    <w:basedOn w:val="72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table" w:styleId="747">
    <w:name w:val="Table Grid"/>
    <w:basedOn w:val="725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48">
    <w:name w:val="Hyperlink"/>
    <w:basedOn w:val="724"/>
    <w:uiPriority w:val="99"/>
    <w:unhideWhenUsed/>
    <w:pPr>
      <w:pBdr/>
      <w:spacing/>
      <w:ind/>
    </w:pPr>
    <w:rPr>
      <w:color w:val="467886" w:themeColor="hyperlink"/>
      <w:u w:val="single"/>
    </w:rPr>
  </w:style>
  <w:style w:type="character" w:styleId="749" w:customStyle="1">
    <w:name w:val="Nierozpoznana wzmianka1"/>
    <w:basedOn w:val="724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750">
    <w:name w:val="endnote text"/>
    <w:basedOn w:val="714"/>
    <w:link w:val="75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51" w:customStyle="1">
    <w:name w:val="Tekst przypisu końcowego Znak"/>
    <w:basedOn w:val="724"/>
    <w:link w:val="750"/>
    <w:uiPriority w:val="99"/>
    <w:semiHidden/>
    <w:pPr>
      <w:pBdr/>
      <w:spacing/>
      <w:ind/>
    </w:pPr>
    <w:rPr>
      <w:sz w:val="20"/>
      <w:szCs w:val="20"/>
    </w:rPr>
  </w:style>
  <w:style w:type="character" w:styleId="752">
    <w:name w:val="endnote reference"/>
    <w:basedOn w:val="724"/>
    <w:uiPriority w:val="99"/>
    <w:semiHidden/>
    <w:unhideWhenUsed/>
    <w:pPr>
      <w:pBdr/>
      <w:spacing/>
      <w:ind/>
    </w:pPr>
    <w:rPr>
      <w:vertAlign w:val="superscript"/>
    </w:rPr>
  </w:style>
  <w:style w:type="table" w:styleId="753" w:customStyle="1">
    <w:name w:val="Tabela - Siatka1"/>
    <w:basedOn w:val="725"/>
    <w:next w:val="747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5DCA8F95-C584-48C6-BF94-89DDAF0C7E71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Martyna Rzemińska</dc:creator>
  <cp:revision>27</cp:revision>
  <dcterms:created xsi:type="dcterms:W3CDTF">2026-04-02T08:40:00Z</dcterms:created>
  <dcterms:modified xsi:type="dcterms:W3CDTF">2026-09-08T08:45:56Z</dcterms:modified>
</cp:coreProperties>
</file>