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518A" w14:textId="643F7C29" w:rsidR="00A757C2" w:rsidRDefault="00A757C2" w:rsidP="003D3F0F">
      <w:pPr>
        <w:spacing w:after="0" w:line="360" w:lineRule="auto"/>
        <w:jc w:val="right"/>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 xml:space="preserve">Tychy, 13 marca 2024 r. </w:t>
      </w:r>
    </w:p>
    <w:p w14:paraId="5FDC09C8" w14:textId="177016C0" w:rsidR="003D3F0F" w:rsidRDefault="003D3F0F" w:rsidP="001F75E0">
      <w:pPr>
        <w:spacing w:after="0" w:line="360" w:lineRule="auto"/>
        <w:jc w:val="both"/>
        <w:rPr>
          <w:rFonts w:asciiTheme="minorBidi" w:hAnsiTheme="minorBidi"/>
        </w:rPr>
      </w:pPr>
      <w:r>
        <w:rPr>
          <w:rFonts w:asciiTheme="minorBidi" w:hAnsiTheme="minorBidi"/>
        </w:rPr>
        <w:t>DUK.1711.8.2023</w:t>
      </w:r>
    </w:p>
    <w:p w14:paraId="4D6D3363" w14:textId="77777777" w:rsidR="00A757C2" w:rsidRDefault="00A757C2" w:rsidP="001F75E0">
      <w:pPr>
        <w:spacing w:after="0" w:line="360" w:lineRule="auto"/>
        <w:jc w:val="both"/>
        <w:rPr>
          <w:rFonts w:asciiTheme="minorBidi" w:hAnsiTheme="minorBidi"/>
        </w:rPr>
      </w:pPr>
    </w:p>
    <w:p w14:paraId="7958E6B3" w14:textId="77777777" w:rsidR="003D3F0F" w:rsidRPr="00E5001F" w:rsidRDefault="003D3F0F" w:rsidP="003D3F0F">
      <w:pPr>
        <w:tabs>
          <w:tab w:val="left" w:pos="567"/>
        </w:tabs>
        <w:spacing w:after="0" w:line="360" w:lineRule="auto"/>
        <w:ind w:left="4820" w:firstLine="425"/>
        <w:rPr>
          <w:rFonts w:ascii="Arial" w:hAnsi="Arial" w:cs="Arial"/>
          <w:b/>
        </w:rPr>
      </w:pPr>
      <w:r w:rsidRPr="00E5001F">
        <w:rPr>
          <w:rFonts w:ascii="Arial" w:hAnsi="Arial" w:cs="Arial"/>
          <w:b/>
        </w:rPr>
        <w:t>Pan</w:t>
      </w:r>
    </w:p>
    <w:p w14:paraId="62975457" w14:textId="77777777" w:rsidR="003D3F0F" w:rsidRPr="00E5001F" w:rsidRDefault="003D3F0F" w:rsidP="003D3F0F">
      <w:pPr>
        <w:tabs>
          <w:tab w:val="left" w:pos="567"/>
        </w:tabs>
        <w:spacing w:after="0" w:line="360" w:lineRule="auto"/>
        <w:ind w:left="4820" w:firstLine="425"/>
        <w:rPr>
          <w:rFonts w:ascii="Arial" w:hAnsi="Arial" w:cs="Arial"/>
          <w:b/>
        </w:rPr>
      </w:pPr>
      <w:r>
        <w:rPr>
          <w:rFonts w:ascii="Arial" w:hAnsi="Arial" w:cs="Arial"/>
          <w:b/>
        </w:rPr>
        <w:t>m</w:t>
      </w:r>
      <w:r w:rsidRPr="00E5001F">
        <w:rPr>
          <w:rFonts w:ascii="Arial" w:hAnsi="Arial" w:cs="Arial"/>
          <w:b/>
        </w:rPr>
        <w:t>gr</w:t>
      </w:r>
      <w:r>
        <w:rPr>
          <w:rFonts w:ascii="Arial" w:hAnsi="Arial" w:cs="Arial"/>
          <w:b/>
        </w:rPr>
        <w:t xml:space="preserve"> inż.</w:t>
      </w:r>
      <w:r w:rsidRPr="00E5001F">
        <w:rPr>
          <w:rFonts w:ascii="Arial" w:hAnsi="Arial" w:cs="Arial"/>
          <w:b/>
        </w:rPr>
        <w:t xml:space="preserve"> Arkadiusz Bąk</w:t>
      </w:r>
    </w:p>
    <w:p w14:paraId="628B7C6C" w14:textId="77777777" w:rsidR="003D3F0F" w:rsidRPr="00E5001F" w:rsidRDefault="003D3F0F" w:rsidP="003D3F0F">
      <w:pPr>
        <w:tabs>
          <w:tab w:val="left" w:pos="567"/>
        </w:tabs>
        <w:spacing w:after="0" w:line="360" w:lineRule="auto"/>
        <w:ind w:left="4820" w:firstLine="425"/>
        <w:rPr>
          <w:rFonts w:ascii="Arial" w:hAnsi="Arial" w:cs="Arial"/>
          <w:b/>
        </w:rPr>
      </w:pPr>
      <w:r w:rsidRPr="00E5001F">
        <w:rPr>
          <w:rFonts w:ascii="Arial" w:hAnsi="Arial" w:cs="Arial"/>
          <w:b/>
        </w:rPr>
        <w:t>Dyrektor Miejskiego Zarządu</w:t>
      </w:r>
    </w:p>
    <w:p w14:paraId="1C312DE1" w14:textId="77777777" w:rsidR="003D3F0F" w:rsidRPr="00E5001F" w:rsidRDefault="003D3F0F" w:rsidP="003D3F0F">
      <w:pPr>
        <w:tabs>
          <w:tab w:val="left" w:pos="567"/>
        </w:tabs>
        <w:spacing w:after="0" w:line="360" w:lineRule="auto"/>
        <w:ind w:left="4820" w:firstLine="425"/>
        <w:rPr>
          <w:rFonts w:ascii="Arial" w:hAnsi="Arial" w:cs="Arial"/>
          <w:b/>
        </w:rPr>
      </w:pPr>
      <w:r w:rsidRPr="00E5001F">
        <w:rPr>
          <w:rFonts w:ascii="Arial" w:hAnsi="Arial" w:cs="Arial"/>
          <w:b/>
        </w:rPr>
        <w:t>Ulic i Mostów w Tychach</w:t>
      </w:r>
    </w:p>
    <w:p w14:paraId="20224AD2" w14:textId="77777777" w:rsidR="00A757C2" w:rsidRDefault="00A757C2" w:rsidP="001F75E0">
      <w:pPr>
        <w:spacing w:after="0" w:line="360" w:lineRule="auto"/>
        <w:jc w:val="both"/>
        <w:rPr>
          <w:rFonts w:asciiTheme="minorBidi" w:hAnsiTheme="minorBidi"/>
        </w:rPr>
      </w:pPr>
    </w:p>
    <w:p w14:paraId="58BB9352" w14:textId="6DB82CAA" w:rsidR="00A757C2" w:rsidRPr="005546E6" w:rsidRDefault="003D3F0F" w:rsidP="001F75E0">
      <w:pPr>
        <w:spacing w:after="0" w:line="360" w:lineRule="auto"/>
        <w:jc w:val="both"/>
        <w:rPr>
          <w:rFonts w:asciiTheme="minorBidi" w:hAnsiTheme="minorBidi"/>
          <w:b/>
          <w:bCs/>
          <w:u w:val="single"/>
        </w:rPr>
      </w:pPr>
      <w:r w:rsidRPr="005546E6">
        <w:rPr>
          <w:rFonts w:asciiTheme="minorBidi" w:hAnsiTheme="minorBidi"/>
          <w:b/>
          <w:bCs/>
          <w:u w:val="single"/>
        </w:rPr>
        <w:t>Dotyczy: pisma nr KKF/2024 z 27.02.2024 r.</w:t>
      </w:r>
    </w:p>
    <w:p w14:paraId="22399C94" w14:textId="77777777" w:rsidR="005546E6" w:rsidRDefault="005546E6" w:rsidP="001F75E0">
      <w:pPr>
        <w:spacing w:after="0" w:line="360" w:lineRule="auto"/>
        <w:jc w:val="both"/>
        <w:rPr>
          <w:rFonts w:asciiTheme="minorBidi" w:hAnsiTheme="minorBidi"/>
        </w:rPr>
      </w:pPr>
    </w:p>
    <w:p w14:paraId="00A21E14" w14:textId="41C7FDB1" w:rsidR="003D3F0F" w:rsidRPr="005546E6" w:rsidRDefault="001F75E0" w:rsidP="003D3F0F">
      <w:pPr>
        <w:spacing w:after="0" w:line="360" w:lineRule="auto"/>
        <w:ind w:firstLine="567"/>
        <w:jc w:val="both"/>
        <w:rPr>
          <w:rFonts w:ascii="Arial" w:hAnsi="Arial" w:cs="Arial"/>
        </w:rPr>
      </w:pPr>
      <w:r w:rsidRPr="001F75E0">
        <w:rPr>
          <w:rFonts w:asciiTheme="minorBidi" w:hAnsiTheme="minorBidi"/>
        </w:rPr>
        <w:t>Odnosząc się do wyjaśnień</w:t>
      </w:r>
      <w:r w:rsidR="003D3F0F">
        <w:rPr>
          <w:rFonts w:asciiTheme="minorBidi" w:hAnsiTheme="minorBidi"/>
        </w:rPr>
        <w:t>,</w:t>
      </w:r>
      <w:r w:rsidRPr="001F75E0">
        <w:rPr>
          <w:rFonts w:asciiTheme="minorBidi" w:hAnsiTheme="minorBidi"/>
        </w:rPr>
        <w:t xml:space="preserve"> dotyczących uchybień stwierdzonych w protokole</w:t>
      </w:r>
      <w:r w:rsidR="003D3F0F">
        <w:rPr>
          <w:rFonts w:asciiTheme="minorBidi" w:hAnsiTheme="minorBidi"/>
        </w:rPr>
        <w:t xml:space="preserve">, </w:t>
      </w:r>
      <w:r w:rsidR="003D3F0F" w:rsidRPr="005546E6">
        <w:rPr>
          <w:rFonts w:ascii="Arial" w:hAnsi="Arial" w:cs="Arial"/>
        </w:rPr>
        <w:t>zawartych w ww. pi</w:t>
      </w:r>
      <w:r w:rsidR="005546E6" w:rsidRPr="005546E6">
        <w:rPr>
          <w:rFonts w:ascii="Arial" w:hAnsi="Arial" w:cs="Arial"/>
        </w:rPr>
        <w:t>ś</w:t>
      </w:r>
      <w:r w:rsidR="003D3F0F" w:rsidRPr="005546E6">
        <w:rPr>
          <w:rFonts w:ascii="Arial" w:hAnsi="Arial" w:cs="Arial"/>
        </w:rPr>
        <w:t>mie :</w:t>
      </w:r>
    </w:p>
    <w:p w14:paraId="6D831400" w14:textId="01F07416" w:rsidR="001F75E0" w:rsidRPr="005546E6" w:rsidRDefault="001F75E0" w:rsidP="005546E6">
      <w:pPr>
        <w:pStyle w:val="Akapitzlist"/>
        <w:numPr>
          <w:ilvl w:val="0"/>
          <w:numId w:val="5"/>
        </w:numPr>
        <w:ind w:left="574" w:hanging="574"/>
        <w:rPr>
          <w:rFonts w:ascii="Arial" w:hAnsi="Arial" w:cs="Arial"/>
          <w:sz w:val="22"/>
          <w:szCs w:val="22"/>
          <w:lang w:val="pl-PL"/>
        </w:rPr>
      </w:pPr>
      <w:r w:rsidRPr="005546E6">
        <w:rPr>
          <w:rFonts w:ascii="Arial" w:hAnsi="Arial" w:cs="Arial"/>
          <w:sz w:val="22"/>
          <w:szCs w:val="22"/>
          <w:lang w:val="pl-PL"/>
        </w:rPr>
        <w:t>Złożone wyjaśnienia w sprawie zwrotu kaucji nie zmieniają faktu, że dokonano błędnych księgowań. Mając na uwadze, że był to incydentalny przypadek uwzględnia się złożone wyjaśnienia. Zaznacza się jednak, że jednostka powinna dążyć do takich rozliczeń z</w:t>
      </w:r>
      <w:r w:rsidR="003D3F0F" w:rsidRPr="005546E6">
        <w:rPr>
          <w:rFonts w:ascii="Arial" w:hAnsi="Arial" w:cs="Arial"/>
          <w:sz w:val="22"/>
          <w:szCs w:val="22"/>
          <w:lang w:val="pl-PL"/>
        </w:rPr>
        <w:t> </w:t>
      </w:r>
      <w:r w:rsidRPr="005546E6">
        <w:rPr>
          <w:rFonts w:ascii="Arial" w:hAnsi="Arial" w:cs="Arial"/>
          <w:sz w:val="22"/>
          <w:szCs w:val="22"/>
          <w:lang w:val="pl-PL"/>
        </w:rPr>
        <w:t>kontrahentami, które umożliwią prawidłową ewidencj</w:t>
      </w:r>
      <w:r w:rsidR="00E00F61" w:rsidRPr="005546E6">
        <w:rPr>
          <w:rFonts w:ascii="Arial" w:hAnsi="Arial" w:cs="Arial"/>
          <w:sz w:val="22"/>
          <w:szCs w:val="22"/>
          <w:lang w:val="pl-PL"/>
        </w:rPr>
        <w:t>ę</w:t>
      </w:r>
      <w:r w:rsidRPr="005546E6">
        <w:rPr>
          <w:rFonts w:ascii="Arial" w:hAnsi="Arial" w:cs="Arial"/>
          <w:sz w:val="22"/>
          <w:szCs w:val="22"/>
          <w:lang w:val="pl-PL"/>
        </w:rPr>
        <w:t xml:space="preserve"> zdarzeń w księgach rachunkowych. </w:t>
      </w:r>
    </w:p>
    <w:p w14:paraId="58A343AD" w14:textId="7B63E11E" w:rsidR="001F75E0" w:rsidRPr="005546E6" w:rsidRDefault="001F75E0" w:rsidP="003D3F0F">
      <w:pPr>
        <w:numPr>
          <w:ilvl w:val="0"/>
          <w:numId w:val="5"/>
        </w:numPr>
        <w:spacing w:after="0" w:line="360" w:lineRule="auto"/>
        <w:ind w:left="567" w:hanging="567"/>
        <w:contextualSpacing/>
        <w:jc w:val="both"/>
        <w:rPr>
          <w:rFonts w:ascii="Arial" w:hAnsi="Arial" w:cs="Arial"/>
        </w:rPr>
      </w:pPr>
      <w:r w:rsidRPr="005546E6">
        <w:rPr>
          <w:rFonts w:ascii="Arial" w:hAnsi="Arial" w:cs="Arial"/>
        </w:rPr>
        <w:t>Przychyl</w:t>
      </w:r>
      <w:r w:rsidR="00E00F61" w:rsidRPr="005546E6">
        <w:rPr>
          <w:rFonts w:ascii="Arial" w:hAnsi="Arial" w:cs="Arial"/>
        </w:rPr>
        <w:t>o</w:t>
      </w:r>
      <w:r w:rsidRPr="005546E6">
        <w:rPr>
          <w:rFonts w:ascii="Arial" w:hAnsi="Arial" w:cs="Arial"/>
        </w:rPr>
        <w:t xml:space="preserve">no się do złożonych  wyjaśnień dot.  RB-N i bilansu. </w:t>
      </w:r>
    </w:p>
    <w:p w14:paraId="0A683179" w14:textId="59EFE7AD" w:rsidR="001F75E0" w:rsidRPr="003D3F0F" w:rsidRDefault="001F75E0" w:rsidP="003D3F0F">
      <w:pPr>
        <w:numPr>
          <w:ilvl w:val="0"/>
          <w:numId w:val="5"/>
        </w:numPr>
        <w:spacing w:after="0" w:line="360" w:lineRule="auto"/>
        <w:ind w:left="567" w:hanging="567"/>
        <w:contextualSpacing/>
        <w:jc w:val="both"/>
        <w:rPr>
          <w:rFonts w:asciiTheme="minorBidi" w:hAnsiTheme="minorBidi"/>
          <w:spacing w:val="-2"/>
        </w:rPr>
      </w:pPr>
      <w:r w:rsidRPr="005546E6">
        <w:rPr>
          <w:rFonts w:ascii="Arial" w:hAnsi="Arial" w:cs="Arial"/>
          <w:spacing w:val="-2"/>
        </w:rPr>
        <w:t>W zakresie prowadzenia ksiąg rachunkowych uwzględniono wyjaśnienie dotyczące faktury nr 9/01/2022 z 24.01.2022 r., natomiast  nie zasługuje na uwzględnienie wytłumaczenie,</w:t>
      </w:r>
      <w:r w:rsidRPr="003D3F0F">
        <w:rPr>
          <w:rFonts w:ascii="Arial" w:hAnsi="Arial" w:cs="Arial"/>
          <w:spacing w:val="-2"/>
        </w:rPr>
        <w:t xml:space="preserve"> co do zasad stosowania konta 300 z uwagi na fakt, że w jednostce od 1.01.2021 r. obowiąz</w:t>
      </w:r>
      <w:r w:rsidR="00E00F61" w:rsidRPr="003D3F0F">
        <w:rPr>
          <w:rFonts w:ascii="Arial" w:hAnsi="Arial" w:cs="Arial"/>
          <w:spacing w:val="-2"/>
        </w:rPr>
        <w:t>uje</w:t>
      </w:r>
      <w:r w:rsidRPr="003D3F0F">
        <w:rPr>
          <w:rFonts w:ascii="Arial" w:hAnsi="Arial" w:cs="Arial"/>
          <w:spacing w:val="-2"/>
        </w:rPr>
        <w:t xml:space="preserve"> zarządzenie nr 5/2021 Dyrektora </w:t>
      </w:r>
      <w:proofErr w:type="spellStart"/>
      <w:r w:rsidRPr="003D3F0F">
        <w:rPr>
          <w:rFonts w:ascii="Arial" w:hAnsi="Arial" w:cs="Arial"/>
          <w:spacing w:val="-2"/>
        </w:rPr>
        <w:t>MZUiM</w:t>
      </w:r>
      <w:proofErr w:type="spellEnd"/>
      <w:r w:rsidRPr="003D3F0F">
        <w:rPr>
          <w:rFonts w:ascii="Arial" w:hAnsi="Arial" w:cs="Arial"/>
          <w:spacing w:val="-2"/>
        </w:rPr>
        <w:t xml:space="preserve"> z 29.01.2021 r. gdzie wskazano, że  „do ksiąg danego miesiąca wprowadza się przypadające na jej rzecz przychody i obciążające ją koszty potwierdzone dokumentami, których wpływ do jednostki nastąpił nie później niż do 20 dnia następnego miesiąca (z wyłączeniem grudnia)”.</w:t>
      </w:r>
    </w:p>
    <w:p w14:paraId="5A3E9877" w14:textId="6EBB71FB" w:rsidR="001F75E0" w:rsidRPr="001F75E0" w:rsidRDefault="001F75E0" w:rsidP="003D3F0F">
      <w:pPr>
        <w:numPr>
          <w:ilvl w:val="0"/>
          <w:numId w:val="5"/>
        </w:numPr>
        <w:spacing w:after="0" w:line="360" w:lineRule="auto"/>
        <w:ind w:left="567" w:hanging="567"/>
        <w:contextualSpacing/>
        <w:jc w:val="both"/>
        <w:rPr>
          <w:rFonts w:asciiTheme="minorBidi" w:hAnsiTheme="minorBidi"/>
        </w:rPr>
      </w:pPr>
      <w:r w:rsidRPr="001F75E0">
        <w:rPr>
          <w:rFonts w:asciiTheme="minorBidi" w:hAnsiTheme="minorBidi"/>
        </w:rPr>
        <w:t xml:space="preserve">Wyjaśnienie dotyczące skorygowania 12.12.2023 r.  faktury </w:t>
      </w:r>
      <w:r w:rsidRPr="001F75E0">
        <w:rPr>
          <w:rFonts w:ascii="Arial" w:hAnsi="Arial" w:cs="Arial"/>
        </w:rPr>
        <w:t xml:space="preserve">nr 3/23 z 2.01.2023 r. na kwotę 163 856,52 zł za zimowe utrzymanie dróg i ulic (…) zad. III, która </w:t>
      </w:r>
      <w:r w:rsidRPr="001F75E0">
        <w:rPr>
          <w:rFonts w:ascii="Arial" w:eastAsia="Segoe UI" w:hAnsi="Arial" w:cs="Arial"/>
          <w:lang w:eastAsia="pl-PL"/>
        </w:rPr>
        <w:t>nie została należycie zweryfikowana, nie zmienia</w:t>
      </w:r>
      <w:r w:rsidR="000B7AE8">
        <w:rPr>
          <w:rFonts w:ascii="Arial" w:eastAsia="Segoe UI" w:hAnsi="Arial" w:cs="Arial"/>
          <w:lang w:eastAsia="pl-PL"/>
        </w:rPr>
        <w:t xml:space="preserve"> </w:t>
      </w:r>
      <w:r w:rsidRPr="001F75E0">
        <w:rPr>
          <w:rFonts w:ascii="Arial" w:eastAsia="Segoe UI" w:hAnsi="Arial" w:cs="Arial"/>
          <w:lang w:eastAsia="pl-PL"/>
        </w:rPr>
        <w:t>faktu, że poniesiono nienależny wydatek na</w:t>
      </w:r>
      <w:r w:rsidRPr="001F75E0">
        <w:rPr>
          <w:rFonts w:ascii="Arial" w:hAnsi="Arial" w:cs="Arial"/>
        </w:rPr>
        <w:t xml:space="preserve"> kwotę 7 884 zł brutto, który został ujawniony na skutek prowadzonych czynności kontrolnych, a korekty nie przedłożono w trakcie kontroli. </w:t>
      </w:r>
    </w:p>
    <w:p w14:paraId="2E6BFF33" w14:textId="77777777" w:rsidR="001F75E0" w:rsidRPr="001F75E0" w:rsidRDefault="001F75E0" w:rsidP="003D3F0F">
      <w:pPr>
        <w:numPr>
          <w:ilvl w:val="0"/>
          <w:numId w:val="5"/>
        </w:numPr>
        <w:spacing w:after="0" w:line="360" w:lineRule="auto"/>
        <w:ind w:left="567" w:hanging="567"/>
        <w:contextualSpacing/>
        <w:jc w:val="both"/>
        <w:rPr>
          <w:rFonts w:asciiTheme="minorBidi" w:hAnsiTheme="minorBidi"/>
        </w:rPr>
      </w:pPr>
      <w:r w:rsidRPr="001F75E0">
        <w:rPr>
          <w:rFonts w:asciiTheme="minorBidi" w:hAnsiTheme="minorBidi"/>
        </w:rPr>
        <w:t>W zakresie wyjaśnień dot. wyposażania pracowników w odzież roboczą, nadal zauważamy, niewspółmierność liczby pracowników którym przyznano ekwiwalent za odzież roboczą w stosunku do wzrostu zatrudnienia, co prezentują poniższe dane:</w:t>
      </w:r>
    </w:p>
    <w:tbl>
      <w:tblPr>
        <w:tblStyle w:val="Tabela-Siatka"/>
        <w:tblW w:w="0" w:type="auto"/>
        <w:tblInd w:w="562" w:type="dxa"/>
        <w:tblLook w:val="04A0" w:firstRow="1" w:lastRow="0" w:firstColumn="1" w:lastColumn="0" w:noHBand="0" w:noVBand="1"/>
      </w:tblPr>
      <w:tblGrid>
        <w:gridCol w:w="2552"/>
        <w:gridCol w:w="1984"/>
        <w:gridCol w:w="1985"/>
        <w:gridCol w:w="1979"/>
      </w:tblGrid>
      <w:tr w:rsidR="001F75E0" w:rsidRPr="003D3F0F" w14:paraId="47F627C9" w14:textId="77777777" w:rsidTr="003D3F0F">
        <w:trPr>
          <w:trHeight w:val="414"/>
        </w:trPr>
        <w:tc>
          <w:tcPr>
            <w:tcW w:w="2552" w:type="dxa"/>
            <w:vAlign w:val="center"/>
          </w:tcPr>
          <w:p w14:paraId="002A0592" w14:textId="77777777" w:rsidR="001F75E0" w:rsidRPr="003D3F0F" w:rsidRDefault="001F75E0" w:rsidP="001F75E0">
            <w:pPr>
              <w:spacing w:line="360" w:lineRule="auto"/>
              <w:jc w:val="both"/>
              <w:rPr>
                <w:rFonts w:asciiTheme="minorBidi" w:hAnsiTheme="minorBidi"/>
                <w:b/>
                <w:bCs/>
              </w:rPr>
            </w:pPr>
          </w:p>
        </w:tc>
        <w:tc>
          <w:tcPr>
            <w:tcW w:w="1984" w:type="dxa"/>
            <w:vAlign w:val="center"/>
          </w:tcPr>
          <w:p w14:paraId="672474CC" w14:textId="77777777" w:rsidR="001F75E0" w:rsidRPr="003D3F0F" w:rsidRDefault="001F75E0" w:rsidP="001F75E0">
            <w:pPr>
              <w:spacing w:line="360" w:lineRule="auto"/>
              <w:jc w:val="both"/>
              <w:rPr>
                <w:rFonts w:asciiTheme="minorBidi" w:hAnsiTheme="minorBidi"/>
                <w:b/>
                <w:bCs/>
                <w:sz w:val="18"/>
                <w:szCs w:val="18"/>
              </w:rPr>
            </w:pPr>
            <w:r w:rsidRPr="003D3F0F">
              <w:rPr>
                <w:rFonts w:asciiTheme="minorBidi" w:hAnsiTheme="minorBidi"/>
                <w:b/>
                <w:bCs/>
                <w:sz w:val="18"/>
                <w:szCs w:val="18"/>
              </w:rPr>
              <w:t>Stan na 31.12.2021</w:t>
            </w:r>
          </w:p>
        </w:tc>
        <w:tc>
          <w:tcPr>
            <w:tcW w:w="1985" w:type="dxa"/>
            <w:vAlign w:val="center"/>
          </w:tcPr>
          <w:p w14:paraId="7CA1B03E" w14:textId="77777777" w:rsidR="001F75E0" w:rsidRPr="003D3F0F" w:rsidRDefault="001F75E0" w:rsidP="001F75E0">
            <w:pPr>
              <w:spacing w:line="360" w:lineRule="auto"/>
              <w:jc w:val="both"/>
              <w:rPr>
                <w:rFonts w:asciiTheme="minorBidi" w:hAnsiTheme="minorBidi"/>
                <w:b/>
                <w:bCs/>
                <w:sz w:val="18"/>
                <w:szCs w:val="18"/>
              </w:rPr>
            </w:pPr>
            <w:r w:rsidRPr="003D3F0F">
              <w:rPr>
                <w:rFonts w:asciiTheme="minorBidi" w:hAnsiTheme="minorBidi"/>
                <w:b/>
                <w:bCs/>
                <w:sz w:val="18"/>
                <w:szCs w:val="18"/>
              </w:rPr>
              <w:t>Stan na 31.12.2022</w:t>
            </w:r>
          </w:p>
        </w:tc>
        <w:tc>
          <w:tcPr>
            <w:tcW w:w="1979" w:type="dxa"/>
            <w:vAlign w:val="center"/>
          </w:tcPr>
          <w:p w14:paraId="61F32598" w14:textId="77777777" w:rsidR="001F75E0" w:rsidRPr="003D3F0F" w:rsidRDefault="001F75E0" w:rsidP="001F75E0">
            <w:pPr>
              <w:spacing w:line="360" w:lineRule="auto"/>
              <w:jc w:val="both"/>
              <w:rPr>
                <w:rFonts w:asciiTheme="minorBidi" w:hAnsiTheme="minorBidi"/>
                <w:b/>
                <w:bCs/>
                <w:sz w:val="18"/>
                <w:szCs w:val="18"/>
              </w:rPr>
            </w:pPr>
            <w:r w:rsidRPr="003D3F0F">
              <w:rPr>
                <w:rFonts w:asciiTheme="minorBidi" w:hAnsiTheme="minorBidi"/>
                <w:b/>
                <w:bCs/>
                <w:sz w:val="18"/>
                <w:szCs w:val="18"/>
              </w:rPr>
              <w:t>Stan na 16.10.2023</w:t>
            </w:r>
          </w:p>
        </w:tc>
      </w:tr>
      <w:tr w:rsidR="001F75E0" w:rsidRPr="001F75E0" w14:paraId="4A777BC2" w14:textId="77777777" w:rsidTr="003D3F0F">
        <w:trPr>
          <w:trHeight w:val="414"/>
        </w:trPr>
        <w:tc>
          <w:tcPr>
            <w:tcW w:w="2552" w:type="dxa"/>
            <w:vAlign w:val="center"/>
          </w:tcPr>
          <w:p w14:paraId="4961359E" w14:textId="77777777" w:rsidR="001F75E0" w:rsidRPr="001F75E0" w:rsidRDefault="001F75E0" w:rsidP="001F75E0">
            <w:pPr>
              <w:jc w:val="both"/>
              <w:rPr>
                <w:rFonts w:asciiTheme="minorBidi" w:hAnsiTheme="minorBidi"/>
                <w:sz w:val="18"/>
                <w:szCs w:val="18"/>
              </w:rPr>
            </w:pPr>
            <w:r w:rsidRPr="001F75E0">
              <w:rPr>
                <w:rFonts w:asciiTheme="minorBidi" w:hAnsiTheme="minorBidi"/>
                <w:sz w:val="18"/>
                <w:szCs w:val="18"/>
              </w:rPr>
              <w:t xml:space="preserve">Stan zatrudnienia </w:t>
            </w:r>
          </w:p>
        </w:tc>
        <w:tc>
          <w:tcPr>
            <w:tcW w:w="1984" w:type="dxa"/>
            <w:vAlign w:val="center"/>
          </w:tcPr>
          <w:p w14:paraId="3152C1F2" w14:textId="77777777" w:rsidR="001F75E0" w:rsidRPr="001F75E0" w:rsidRDefault="001F75E0" w:rsidP="001F75E0">
            <w:pPr>
              <w:jc w:val="center"/>
              <w:rPr>
                <w:rFonts w:asciiTheme="minorBidi" w:hAnsiTheme="minorBidi"/>
                <w:sz w:val="18"/>
                <w:szCs w:val="18"/>
              </w:rPr>
            </w:pPr>
            <w:r w:rsidRPr="001F75E0">
              <w:rPr>
                <w:rFonts w:asciiTheme="minorBidi" w:hAnsiTheme="minorBidi"/>
                <w:sz w:val="18"/>
                <w:szCs w:val="18"/>
              </w:rPr>
              <w:t>61</w:t>
            </w:r>
          </w:p>
        </w:tc>
        <w:tc>
          <w:tcPr>
            <w:tcW w:w="1985" w:type="dxa"/>
            <w:vAlign w:val="center"/>
          </w:tcPr>
          <w:p w14:paraId="4EE728B2" w14:textId="77777777" w:rsidR="001F75E0" w:rsidRPr="001F75E0" w:rsidRDefault="001F75E0" w:rsidP="001F75E0">
            <w:pPr>
              <w:spacing w:line="360" w:lineRule="auto"/>
              <w:jc w:val="center"/>
              <w:rPr>
                <w:rFonts w:asciiTheme="minorBidi" w:hAnsiTheme="minorBidi"/>
                <w:sz w:val="18"/>
                <w:szCs w:val="18"/>
              </w:rPr>
            </w:pPr>
            <w:r w:rsidRPr="001F75E0">
              <w:rPr>
                <w:rFonts w:asciiTheme="minorBidi" w:hAnsiTheme="minorBidi"/>
                <w:sz w:val="18"/>
                <w:szCs w:val="18"/>
              </w:rPr>
              <w:t>68</w:t>
            </w:r>
          </w:p>
        </w:tc>
        <w:tc>
          <w:tcPr>
            <w:tcW w:w="1979" w:type="dxa"/>
            <w:vAlign w:val="center"/>
          </w:tcPr>
          <w:p w14:paraId="15110EF5" w14:textId="77777777" w:rsidR="001F75E0" w:rsidRPr="001F75E0" w:rsidRDefault="001F75E0" w:rsidP="001F75E0">
            <w:pPr>
              <w:spacing w:line="360" w:lineRule="auto"/>
              <w:jc w:val="center"/>
              <w:rPr>
                <w:rFonts w:asciiTheme="minorBidi" w:hAnsiTheme="minorBidi"/>
                <w:sz w:val="18"/>
                <w:szCs w:val="18"/>
              </w:rPr>
            </w:pPr>
            <w:r w:rsidRPr="001F75E0">
              <w:rPr>
                <w:rFonts w:asciiTheme="minorBidi" w:hAnsiTheme="minorBidi"/>
                <w:sz w:val="18"/>
                <w:szCs w:val="18"/>
              </w:rPr>
              <w:t>69</w:t>
            </w:r>
          </w:p>
        </w:tc>
      </w:tr>
      <w:tr w:rsidR="001F75E0" w:rsidRPr="001F75E0" w14:paraId="4DC7C3C5" w14:textId="77777777" w:rsidTr="003D3F0F">
        <w:trPr>
          <w:trHeight w:val="414"/>
        </w:trPr>
        <w:tc>
          <w:tcPr>
            <w:tcW w:w="2552" w:type="dxa"/>
            <w:vAlign w:val="center"/>
          </w:tcPr>
          <w:p w14:paraId="64D3A880" w14:textId="77777777" w:rsidR="001F75E0" w:rsidRPr="001F75E0" w:rsidRDefault="001F75E0" w:rsidP="001F75E0">
            <w:pPr>
              <w:rPr>
                <w:rFonts w:asciiTheme="minorBidi" w:hAnsiTheme="minorBidi"/>
                <w:sz w:val="18"/>
                <w:szCs w:val="18"/>
              </w:rPr>
            </w:pPr>
            <w:r w:rsidRPr="001F75E0">
              <w:rPr>
                <w:rFonts w:asciiTheme="minorBidi" w:hAnsiTheme="minorBidi"/>
                <w:sz w:val="18"/>
                <w:szCs w:val="18"/>
              </w:rPr>
              <w:t xml:space="preserve">Liczba pracowników którym przyznano ekwiwalent  </w:t>
            </w:r>
          </w:p>
        </w:tc>
        <w:tc>
          <w:tcPr>
            <w:tcW w:w="1984" w:type="dxa"/>
            <w:vAlign w:val="center"/>
          </w:tcPr>
          <w:p w14:paraId="26F42D57" w14:textId="77777777" w:rsidR="001F75E0" w:rsidRPr="001F75E0" w:rsidRDefault="001F75E0" w:rsidP="001F75E0">
            <w:pPr>
              <w:jc w:val="center"/>
              <w:rPr>
                <w:rFonts w:asciiTheme="minorBidi" w:hAnsiTheme="minorBidi"/>
                <w:sz w:val="18"/>
                <w:szCs w:val="18"/>
              </w:rPr>
            </w:pPr>
            <w:r w:rsidRPr="001F75E0">
              <w:rPr>
                <w:rFonts w:asciiTheme="minorBidi" w:hAnsiTheme="minorBidi"/>
                <w:sz w:val="18"/>
                <w:szCs w:val="18"/>
              </w:rPr>
              <w:t>24</w:t>
            </w:r>
          </w:p>
        </w:tc>
        <w:tc>
          <w:tcPr>
            <w:tcW w:w="1985" w:type="dxa"/>
            <w:vAlign w:val="center"/>
          </w:tcPr>
          <w:p w14:paraId="007C193B" w14:textId="77777777" w:rsidR="001F75E0" w:rsidRPr="001F75E0" w:rsidRDefault="001F75E0" w:rsidP="001F75E0">
            <w:pPr>
              <w:spacing w:line="360" w:lineRule="auto"/>
              <w:jc w:val="center"/>
              <w:rPr>
                <w:rFonts w:asciiTheme="minorBidi" w:hAnsiTheme="minorBidi"/>
                <w:sz w:val="18"/>
                <w:szCs w:val="18"/>
              </w:rPr>
            </w:pPr>
            <w:r w:rsidRPr="001F75E0">
              <w:rPr>
                <w:rFonts w:asciiTheme="minorBidi" w:hAnsiTheme="minorBidi"/>
                <w:sz w:val="18"/>
                <w:szCs w:val="18"/>
              </w:rPr>
              <w:t>40</w:t>
            </w:r>
          </w:p>
        </w:tc>
        <w:tc>
          <w:tcPr>
            <w:tcW w:w="1979" w:type="dxa"/>
            <w:vAlign w:val="center"/>
          </w:tcPr>
          <w:p w14:paraId="33E0AFDF" w14:textId="77777777" w:rsidR="001F75E0" w:rsidRPr="001F75E0" w:rsidRDefault="001F75E0" w:rsidP="001F75E0">
            <w:pPr>
              <w:spacing w:line="360" w:lineRule="auto"/>
              <w:jc w:val="center"/>
              <w:rPr>
                <w:rFonts w:asciiTheme="minorBidi" w:hAnsiTheme="minorBidi"/>
                <w:sz w:val="18"/>
                <w:szCs w:val="18"/>
              </w:rPr>
            </w:pPr>
            <w:r w:rsidRPr="001F75E0">
              <w:rPr>
                <w:rFonts w:asciiTheme="minorBidi" w:hAnsiTheme="minorBidi"/>
                <w:sz w:val="18"/>
                <w:szCs w:val="18"/>
              </w:rPr>
              <w:t>48</w:t>
            </w:r>
          </w:p>
        </w:tc>
      </w:tr>
    </w:tbl>
    <w:p w14:paraId="4FC15A73" w14:textId="2E46AE49" w:rsidR="001F75E0" w:rsidRPr="005546E6" w:rsidRDefault="00576DE8" w:rsidP="005546E6">
      <w:pPr>
        <w:spacing w:after="0" w:line="360" w:lineRule="auto"/>
        <w:ind w:left="658"/>
        <w:jc w:val="both"/>
        <w:rPr>
          <w:rFonts w:ascii="Arial" w:hAnsi="Arial" w:cs="Arial"/>
        </w:rPr>
      </w:pPr>
      <w:r w:rsidRPr="005546E6">
        <w:rPr>
          <w:rFonts w:ascii="Arial" w:hAnsi="Arial" w:cs="Arial"/>
        </w:rPr>
        <w:lastRenderedPageBreak/>
        <w:t>Uwaga</w:t>
      </w:r>
      <w:r w:rsidR="001F75E0" w:rsidRPr="005546E6">
        <w:rPr>
          <w:rFonts w:ascii="Arial" w:hAnsi="Arial" w:cs="Arial"/>
        </w:rPr>
        <w:t xml:space="preserve"> w zakresie rozszerzenia zakresu wyposażenia i argument zmiany struktury organizacyjnej nie sposób odnieść do wszystkich pracowników, którym rozszerzono przydział odzieży roboczej do pełnego wyposażenia</w:t>
      </w:r>
      <w:r w:rsidR="005546E6">
        <w:rPr>
          <w:rFonts w:ascii="Arial" w:hAnsi="Arial" w:cs="Arial"/>
        </w:rPr>
        <w:t>,</w:t>
      </w:r>
      <w:r w:rsidR="001F75E0" w:rsidRPr="005546E6">
        <w:rPr>
          <w:rFonts w:ascii="Arial" w:hAnsi="Arial" w:cs="Arial"/>
        </w:rPr>
        <w:t xml:space="preserve"> tj. butów roboczych, kurtki ocieplanej, butów ocieplanych, czapki ocieplanej, kurtki deszczowej, butów gumowych. Przykładowo od 2023 r. zwiększono ekwiwalent za odzież roboczą do pełnego wyposażenia specjaliście ds. administrowania i ewidencji dróg, </w:t>
      </w:r>
      <w:r w:rsidR="001F75E0" w:rsidRPr="005546E6">
        <w:rPr>
          <w:rFonts w:ascii="Arial" w:hAnsi="Arial" w:cs="Arial"/>
          <w:spacing w:val="-2"/>
        </w:rPr>
        <w:t xml:space="preserve">kierownikowi DDA/DRP </w:t>
      </w:r>
      <w:r w:rsidR="001F75E0" w:rsidRPr="005546E6">
        <w:rPr>
          <w:rFonts w:ascii="Arial" w:hAnsi="Arial" w:cs="Arial"/>
        </w:rPr>
        <w:t xml:space="preserve">oraz przyznano ekwiwalent za odzież specjaliście ds. administracyjno-organizacyjnych w postaci półbutów roboczych, butów gumowych i kurtki p. deszczowej, z zakresu obowiązku których jednoznacznie nie wynika konieczność wyposażania ich w taki zakres odzieży.  Z </w:t>
      </w:r>
      <w:r w:rsidRPr="005546E6">
        <w:rPr>
          <w:rFonts w:ascii="Arial" w:hAnsi="Arial" w:cs="Arial"/>
        </w:rPr>
        <w:t>uw</w:t>
      </w:r>
      <w:r w:rsidR="001F75E0" w:rsidRPr="005546E6">
        <w:rPr>
          <w:rFonts w:ascii="Arial" w:hAnsi="Arial" w:cs="Arial"/>
        </w:rPr>
        <w:t>agi na fakt, że normy przydziału odzieży i obuwia roboczego nie zostały w zarządzeniu określone wprost do stanowisk tylko scedowane do oceny raz w</w:t>
      </w:r>
      <w:r w:rsidR="005546E6">
        <w:rPr>
          <w:rFonts w:ascii="Arial" w:hAnsi="Arial" w:cs="Arial"/>
        </w:rPr>
        <w:t> </w:t>
      </w:r>
      <w:r w:rsidR="001F75E0" w:rsidRPr="005546E6">
        <w:rPr>
          <w:rFonts w:ascii="Arial" w:hAnsi="Arial" w:cs="Arial"/>
        </w:rPr>
        <w:t xml:space="preserve">roku przez kierowników działów, wydaje się być koniecznym dokonanie szczegółowej weryfikacji zastosowanych norm przydziału. </w:t>
      </w:r>
    </w:p>
    <w:p w14:paraId="6CCE2204" w14:textId="08E64933" w:rsidR="001F75E0" w:rsidRPr="005546E6" w:rsidRDefault="001F75E0" w:rsidP="005546E6">
      <w:pPr>
        <w:spacing w:after="0" w:line="360" w:lineRule="auto"/>
        <w:ind w:left="658"/>
        <w:jc w:val="both"/>
        <w:rPr>
          <w:rFonts w:ascii="Arial" w:hAnsi="Arial" w:cs="Arial"/>
        </w:rPr>
      </w:pPr>
      <w:r w:rsidRPr="005546E6">
        <w:rPr>
          <w:rFonts w:ascii="Arial" w:hAnsi="Arial" w:cs="Arial"/>
        </w:rPr>
        <w:t>W zakresie wyjaśnieni</w:t>
      </w:r>
      <w:r w:rsidR="00576DE8" w:rsidRPr="005546E6">
        <w:rPr>
          <w:rFonts w:ascii="Arial" w:hAnsi="Arial" w:cs="Arial"/>
        </w:rPr>
        <w:t>a</w:t>
      </w:r>
      <w:r w:rsidRPr="005546E6">
        <w:rPr>
          <w:rFonts w:ascii="Arial" w:hAnsi="Arial" w:cs="Arial"/>
        </w:rPr>
        <w:t xml:space="preserve"> dot. kamizelek ostrzegawczych i kasków zauważam, że w</w:t>
      </w:r>
      <w:r w:rsidR="00576DE8" w:rsidRPr="005546E6">
        <w:rPr>
          <w:rFonts w:ascii="Arial" w:hAnsi="Arial" w:cs="Arial"/>
        </w:rPr>
        <w:t> </w:t>
      </w:r>
      <w:r w:rsidRPr="005546E6">
        <w:rPr>
          <w:rFonts w:ascii="Arial" w:hAnsi="Arial" w:cs="Arial"/>
        </w:rPr>
        <w:t>protokole nie wyartykułowano zarzutu w zakresie dostarczenia tych środków w</w:t>
      </w:r>
      <w:r w:rsidR="00576DE8" w:rsidRPr="005546E6">
        <w:rPr>
          <w:rFonts w:ascii="Arial" w:hAnsi="Arial" w:cs="Arial"/>
        </w:rPr>
        <w:t> </w:t>
      </w:r>
      <w:r w:rsidRPr="005546E6">
        <w:rPr>
          <w:rFonts w:ascii="Arial" w:hAnsi="Arial" w:cs="Arial"/>
        </w:rPr>
        <w:t>naturze i określenia okresu ich używalności (stwierdzono tylko fakt)</w:t>
      </w:r>
      <w:r w:rsidR="00576DE8" w:rsidRPr="005546E6">
        <w:rPr>
          <w:rFonts w:ascii="Arial" w:hAnsi="Arial" w:cs="Arial"/>
        </w:rPr>
        <w:t>.</w:t>
      </w:r>
      <w:r w:rsidRPr="005546E6">
        <w:rPr>
          <w:rFonts w:ascii="Arial" w:hAnsi="Arial" w:cs="Arial"/>
        </w:rPr>
        <w:t xml:space="preserve"> </w:t>
      </w:r>
      <w:r w:rsidR="00576DE8" w:rsidRPr="005546E6">
        <w:rPr>
          <w:rFonts w:ascii="Arial" w:hAnsi="Arial" w:cs="Arial"/>
        </w:rPr>
        <w:t>Z</w:t>
      </w:r>
      <w:r w:rsidRPr="005546E6">
        <w:rPr>
          <w:rFonts w:ascii="Arial" w:hAnsi="Arial" w:cs="Arial"/>
        </w:rPr>
        <w:t xml:space="preserve">arzut dotyczył niewpisania ich do karty ewidencji wyposażenia pracowników. </w:t>
      </w:r>
    </w:p>
    <w:p w14:paraId="4033EEC0" w14:textId="78E9102A" w:rsidR="0012765E" w:rsidRPr="00D52A59" w:rsidRDefault="00C97825" w:rsidP="005546E6">
      <w:pPr>
        <w:pStyle w:val="Akapitzlist1"/>
        <w:numPr>
          <w:ilvl w:val="0"/>
          <w:numId w:val="10"/>
        </w:numPr>
        <w:ind w:left="672" w:hanging="672"/>
        <w:rPr>
          <w:rFonts w:ascii="Arial" w:hAnsi="Arial" w:cs="Arial"/>
          <w:color w:val="auto"/>
          <w:sz w:val="22"/>
          <w:szCs w:val="22"/>
          <w:lang w:val="pl-PL"/>
        </w:rPr>
      </w:pPr>
      <w:r w:rsidRPr="0012765E">
        <w:rPr>
          <w:rFonts w:ascii="Arial" w:hAnsi="Arial" w:cs="Arial"/>
          <w:sz w:val="22"/>
          <w:szCs w:val="22"/>
          <w:lang w:val="pl-PL"/>
        </w:rPr>
        <w:t>Odnośnie pkt. 7</w:t>
      </w:r>
      <w:r w:rsidR="005546E6">
        <w:rPr>
          <w:rFonts w:ascii="Arial" w:hAnsi="Arial" w:cs="Arial"/>
          <w:sz w:val="22"/>
          <w:szCs w:val="22"/>
          <w:lang w:val="pl-PL"/>
        </w:rPr>
        <w:t>,</w:t>
      </w:r>
      <w:r w:rsidRPr="0012765E">
        <w:rPr>
          <w:rFonts w:ascii="Arial" w:hAnsi="Arial" w:cs="Arial"/>
          <w:sz w:val="22"/>
          <w:szCs w:val="22"/>
          <w:lang w:val="pl-PL"/>
        </w:rPr>
        <w:t xml:space="preserve"> w protokole omyłkowo przytoczono fakturę </w:t>
      </w:r>
      <w:r w:rsidRPr="0012765E">
        <w:rPr>
          <w:rFonts w:ascii="Arial" w:hAnsi="Arial" w:cs="Arial"/>
          <w:color w:val="auto"/>
          <w:sz w:val="22"/>
          <w:szCs w:val="22"/>
          <w:lang w:val="pl-PL"/>
        </w:rPr>
        <w:t>nr</w:t>
      </w:r>
      <w:r w:rsidR="00576DE8">
        <w:rPr>
          <w:rFonts w:ascii="Arial" w:hAnsi="Arial" w:cs="Arial"/>
          <w:color w:val="auto"/>
          <w:sz w:val="22"/>
          <w:szCs w:val="22"/>
          <w:lang w:val="pl-PL"/>
        </w:rPr>
        <w:t> </w:t>
      </w:r>
      <w:r w:rsidRPr="0012765E">
        <w:rPr>
          <w:rFonts w:ascii="Arial" w:hAnsi="Arial" w:cs="Arial"/>
          <w:color w:val="auto"/>
          <w:sz w:val="22"/>
          <w:szCs w:val="22"/>
          <w:lang w:val="pl-PL"/>
        </w:rPr>
        <w:t>FV/000096/12/2021 z</w:t>
      </w:r>
      <w:r w:rsidR="00124057">
        <w:rPr>
          <w:rFonts w:ascii="Arial" w:hAnsi="Arial" w:cs="Arial"/>
          <w:color w:val="auto"/>
          <w:sz w:val="22"/>
          <w:szCs w:val="22"/>
          <w:lang w:val="pl-PL"/>
        </w:rPr>
        <w:t> </w:t>
      </w:r>
      <w:r w:rsidRPr="0012765E">
        <w:rPr>
          <w:rFonts w:ascii="Arial" w:hAnsi="Arial" w:cs="Arial"/>
          <w:color w:val="auto"/>
          <w:sz w:val="22"/>
          <w:szCs w:val="22"/>
          <w:lang w:val="pl-PL"/>
        </w:rPr>
        <w:t xml:space="preserve">31.12.2021 r. na kwotę 9 144,47 zł za prenumeratę na 2022 r. (dowód </w:t>
      </w:r>
      <w:r w:rsidRPr="00987A4B">
        <w:rPr>
          <w:rFonts w:ascii="Arial" w:hAnsi="Arial" w:cs="Arial"/>
          <w:color w:val="auto"/>
          <w:sz w:val="22"/>
          <w:szCs w:val="22"/>
          <w:lang w:val="pl-PL"/>
        </w:rPr>
        <w:t>księgowy nr 12/21/</w:t>
      </w:r>
      <w:r w:rsidRPr="00987A4B">
        <w:rPr>
          <w:rFonts w:ascii="Arial" w:hAnsi="Arial" w:cs="Arial"/>
          <w:b/>
          <w:bCs/>
          <w:color w:val="auto"/>
          <w:sz w:val="22"/>
          <w:szCs w:val="22"/>
          <w:lang w:val="pl-PL"/>
        </w:rPr>
        <w:t>0178</w:t>
      </w:r>
      <w:r w:rsidRPr="00987A4B">
        <w:rPr>
          <w:rFonts w:ascii="Arial" w:hAnsi="Arial" w:cs="Arial"/>
          <w:color w:val="auto"/>
          <w:sz w:val="22"/>
          <w:szCs w:val="22"/>
          <w:lang w:val="pl-PL"/>
        </w:rPr>
        <w:t>)</w:t>
      </w:r>
      <w:r w:rsidR="005546E6">
        <w:rPr>
          <w:rFonts w:ascii="Arial" w:hAnsi="Arial" w:cs="Arial"/>
          <w:color w:val="auto"/>
          <w:sz w:val="22"/>
          <w:szCs w:val="22"/>
          <w:lang w:val="pl-PL"/>
        </w:rPr>
        <w:t>,</w:t>
      </w:r>
      <w:r w:rsidRPr="00987A4B">
        <w:rPr>
          <w:rFonts w:ascii="Arial" w:hAnsi="Arial" w:cs="Arial"/>
          <w:color w:val="auto"/>
          <w:sz w:val="22"/>
          <w:szCs w:val="22"/>
          <w:lang w:val="pl-PL"/>
        </w:rPr>
        <w:t xml:space="preserve"> zamiast prawidłowo</w:t>
      </w:r>
      <w:r w:rsidR="00040B2D" w:rsidRPr="00987A4B">
        <w:rPr>
          <w:rFonts w:ascii="Arial" w:hAnsi="Arial" w:cs="Arial"/>
          <w:color w:val="auto"/>
          <w:sz w:val="22"/>
          <w:szCs w:val="22"/>
          <w:lang w:val="pl-PL"/>
        </w:rPr>
        <w:t xml:space="preserve"> wskazać</w:t>
      </w:r>
      <w:r w:rsidRPr="00987A4B">
        <w:rPr>
          <w:rFonts w:ascii="Arial" w:hAnsi="Arial" w:cs="Arial"/>
          <w:color w:val="auto"/>
          <w:sz w:val="22"/>
          <w:szCs w:val="22"/>
          <w:lang w:val="pl-PL"/>
        </w:rPr>
        <w:t xml:space="preserve"> faktur</w:t>
      </w:r>
      <w:r w:rsidR="00040B2D" w:rsidRPr="00987A4B">
        <w:rPr>
          <w:rFonts w:ascii="Arial" w:hAnsi="Arial" w:cs="Arial"/>
          <w:color w:val="auto"/>
          <w:sz w:val="22"/>
          <w:szCs w:val="22"/>
          <w:lang w:val="pl-PL"/>
        </w:rPr>
        <w:t>ę</w:t>
      </w:r>
      <w:r w:rsidRPr="00987A4B">
        <w:rPr>
          <w:rFonts w:ascii="Arial" w:hAnsi="Arial" w:cs="Arial"/>
          <w:color w:val="auto"/>
          <w:sz w:val="22"/>
          <w:szCs w:val="22"/>
          <w:lang w:val="pl-PL"/>
        </w:rPr>
        <w:t xml:space="preserve"> nr </w:t>
      </w:r>
      <w:r w:rsidR="0012765E" w:rsidRPr="00987A4B">
        <w:rPr>
          <w:rFonts w:ascii="Arial" w:hAnsi="Arial" w:cs="Arial"/>
          <w:color w:val="auto"/>
          <w:sz w:val="22"/>
          <w:szCs w:val="22"/>
          <w:lang w:val="pl-PL"/>
        </w:rPr>
        <w:t>Fa2021/00037440 z 21.07.2021</w:t>
      </w:r>
      <w:r w:rsidR="003D3F0F">
        <w:rPr>
          <w:rFonts w:ascii="Arial" w:hAnsi="Arial" w:cs="Arial"/>
          <w:color w:val="auto"/>
          <w:sz w:val="22"/>
          <w:szCs w:val="22"/>
          <w:lang w:val="pl-PL"/>
        </w:rPr>
        <w:t> </w:t>
      </w:r>
      <w:r w:rsidR="0012765E" w:rsidRPr="00987A4B">
        <w:rPr>
          <w:rFonts w:ascii="Arial" w:hAnsi="Arial" w:cs="Arial"/>
          <w:color w:val="auto"/>
          <w:sz w:val="22"/>
          <w:szCs w:val="22"/>
          <w:lang w:val="pl-PL"/>
        </w:rPr>
        <w:t>r.</w:t>
      </w:r>
      <w:r w:rsidR="00EB076D" w:rsidRPr="00987A4B">
        <w:rPr>
          <w:rFonts w:ascii="Arial" w:hAnsi="Arial" w:cs="Arial"/>
          <w:color w:val="auto"/>
          <w:sz w:val="22"/>
          <w:szCs w:val="22"/>
          <w:lang w:val="pl-PL"/>
        </w:rPr>
        <w:t xml:space="preserve"> (zgodnie z danymi wynikającymi z dziennika za 2021 r.)</w:t>
      </w:r>
      <w:r w:rsidR="0012765E" w:rsidRPr="00987A4B">
        <w:rPr>
          <w:rFonts w:ascii="Arial" w:hAnsi="Arial" w:cs="Arial"/>
          <w:color w:val="auto"/>
          <w:sz w:val="22"/>
          <w:szCs w:val="22"/>
          <w:lang w:val="pl-PL"/>
        </w:rPr>
        <w:t xml:space="preserve"> na kwotę 1 300,77 </w:t>
      </w:r>
      <w:r w:rsidR="00124057">
        <w:rPr>
          <w:rFonts w:ascii="Arial" w:hAnsi="Arial" w:cs="Arial"/>
          <w:color w:val="auto"/>
          <w:sz w:val="22"/>
          <w:szCs w:val="22"/>
          <w:lang w:val="pl-PL"/>
        </w:rPr>
        <w:t xml:space="preserve">zł </w:t>
      </w:r>
      <w:r w:rsidR="0012765E" w:rsidRPr="00987A4B">
        <w:rPr>
          <w:rFonts w:ascii="Arial" w:hAnsi="Arial" w:cs="Arial"/>
          <w:color w:val="auto"/>
          <w:sz w:val="22"/>
          <w:szCs w:val="22"/>
          <w:lang w:val="pl-PL"/>
        </w:rPr>
        <w:t>za</w:t>
      </w:r>
      <w:r w:rsidR="003D3F0F">
        <w:rPr>
          <w:rFonts w:ascii="Arial" w:hAnsi="Arial" w:cs="Arial"/>
          <w:color w:val="auto"/>
          <w:sz w:val="22"/>
          <w:szCs w:val="22"/>
          <w:lang w:val="pl-PL"/>
        </w:rPr>
        <w:t> </w:t>
      </w:r>
      <w:r w:rsidR="0012765E" w:rsidRPr="0012765E">
        <w:rPr>
          <w:rFonts w:ascii="Arial" w:hAnsi="Arial" w:cs="Arial"/>
          <w:sz w:val="22"/>
          <w:szCs w:val="22"/>
          <w:lang w:val="pl-PL"/>
        </w:rPr>
        <w:t>prenumerat</w:t>
      </w:r>
      <w:r w:rsidR="0012765E">
        <w:rPr>
          <w:rFonts w:ascii="Arial" w:hAnsi="Arial" w:cs="Arial"/>
          <w:sz w:val="22"/>
          <w:szCs w:val="22"/>
          <w:lang w:val="pl-PL"/>
        </w:rPr>
        <w:t xml:space="preserve">ę z </w:t>
      </w:r>
      <w:r w:rsidR="0012765E" w:rsidRPr="0012765E">
        <w:rPr>
          <w:rFonts w:ascii="Arial" w:hAnsi="Arial" w:cs="Arial"/>
          <w:color w:val="auto"/>
          <w:sz w:val="22"/>
          <w:szCs w:val="22"/>
          <w:lang w:val="pl-PL"/>
        </w:rPr>
        <w:t>dostęp</w:t>
      </w:r>
      <w:r w:rsidR="0012765E">
        <w:rPr>
          <w:rFonts w:ascii="Arial" w:hAnsi="Arial" w:cs="Arial"/>
          <w:color w:val="auto"/>
          <w:sz w:val="22"/>
          <w:szCs w:val="22"/>
          <w:lang w:val="pl-PL"/>
        </w:rPr>
        <w:t>em</w:t>
      </w:r>
      <w:r w:rsidR="0012765E" w:rsidRPr="0012765E">
        <w:rPr>
          <w:rFonts w:ascii="Arial" w:hAnsi="Arial" w:cs="Arial"/>
          <w:color w:val="auto"/>
          <w:sz w:val="22"/>
          <w:szCs w:val="22"/>
          <w:lang w:val="pl-PL"/>
        </w:rPr>
        <w:t xml:space="preserve"> on-line </w:t>
      </w:r>
      <w:r w:rsidRPr="0012765E">
        <w:rPr>
          <w:rFonts w:ascii="Arial" w:hAnsi="Arial" w:cs="Arial"/>
          <w:color w:val="auto"/>
          <w:sz w:val="22"/>
          <w:szCs w:val="22"/>
          <w:lang w:val="pl-PL"/>
        </w:rPr>
        <w:t>(dowód księgowy nr 12/21</w:t>
      </w:r>
      <w:r w:rsidRPr="0012765E">
        <w:rPr>
          <w:rFonts w:ascii="Arial" w:hAnsi="Arial" w:cs="Arial"/>
          <w:b/>
          <w:bCs/>
          <w:color w:val="auto"/>
          <w:sz w:val="22"/>
          <w:szCs w:val="22"/>
          <w:lang w:val="pl-PL"/>
        </w:rPr>
        <w:t>/0179</w:t>
      </w:r>
      <w:r w:rsidRPr="0012765E">
        <w:rPr>
          <w:rFonts w:ascii="Arial" w:hAnsi="Arial" w:cs="Arial"/>
          <w:color w:val="auto"/>
          <w:sz w:val="22"/>
          <w:szCs w:val="22"/>
          <w:lang w:val="pl-PL"/>
        </w:rPr>
        <w:t>)</w:t>
      </w:r>
      <w:r w:rsidR="0012765E">
        <w:rPr>
          <w:rFonts w:ascii="Arial" w:hAnsi="Arial" w:cs="Arial"/>
          <w:color w:val="auto"/>
          <w:sz w:val="22"/>
          <w:szCs w:val="22"/>
          <w:lang w:val="pl-PL"/>
        </w:rPr>
        <w:t>.</w:t>
      </w:r>
      <w:r w:rsidR="003D3F0F">
        <w:rPr>
          <w:rFonts w:ascii="Arial" w:hAnsi="Arial" w:cs="Arial"/>
          <w:color w:val="auto"/>
          <w:sz w:val="22"/>
          <w:szCs w:val="22"/>
          <w:lang w:val="pl-PL"/>
        </w:rPr>
        <w:br/>
      </w:r>
      <w:r w:rsidR="00077509">
        <w:rPr>
          <w:rFonts w:ascii="Arial" w:hAnsi="Arial" w:cs="Arial"/>
          <w:color w:val="auto"/>
          <w:sz w:val="22"/>
          <w:szCs w:val="22"/>
          <w:lang w:val="pl-PL"/>
        </w:rPr>
        <w:t>Powyższa pomyłka nie zmienia jednak faktu, że nie był to jednorazowy przypadek niezastosowania konta 640</w:t>
      </w:r>
      <w:r w:rsidR="00D52A59">
        <w:rPr>
          <w:rFonts w:ascii="Arial" w:hAnsi="Arial" w:cs="Arial"/>
          <w:color w:val="auto"/>
          <w:sz w:val="22"/>
          <w:szCs w:val="22"/>
          <w:lang w:val="pl-PL"/>
        </w:rPr>
        <w:t xml:space="preserve"> </w:t>
      </w:r>
      <w:r w:rsidR="00D52A59" w:rsidRPr="00D52A59">
        <w:rPr>
          <w:rFonts w:ascii="Arial" w:hAnsi="Arial" w:cs="Arial"/>
          <w:i/>
          <w:iCs/>
          <w:color w:val="auto"/>
          <w:sz w:val="22"/>
          <w:szCs w:val="22"/>
          <w:lang w:val="pl-PL"/>
        </w:rPr>
        <w:t>Rozliczenia międzyokresowe kosztów</w:t>
      </w:r>
      <w:r w:rsidR="00077509" w:rsidRPr="00D52A59">
        <w:rPr>
          <w:rFonts w:ascii="Arial" w:hAnsi="Arial" w:cs="Arial"/>
          <w:color w:val="auto"/>
          <w:sz w:val="22"/>
          <w:szCs w:val="22"/>
          <w:lang w:val="pl-PL"/>
        </w:rPr>
        <w:t>, co przedstawiono w</w:t>
      </w:r>
      <w:r w:rsidR="00172B20">
        <w:rPr>
          <w:rFonts w:ascii="Arial" w:hAnsi="Arial" w:cs="Arial"/>
          <w:color w:val="auto"/>
          <w:sz w:val="22"/>
          <w:szCs w:val="22"/>
          <w:lang w:val="pl-PL"/>
        </w:rPr>
        <w:t> </w:t>
      </w:r>
      <w:r w:rsidR="00077509" w:rsidRPr="00D52A59">
        <w:rPr>
          <w:rFonts w:ascii="Arial" w:hAnsi="Arial" w:cs="Arial"/>
          <w:color w:val="auto"/>
          <w:sz w:val="22"/>
          <w:szCs w:val="22"/>
          <w:lang w:val="pl-PL"/>
        </w:rPr>
        <w:t>protokole</w:t>
      </w:r>
      <w:r w:rsidR="00D52A59">
        <w:rPr>
          <w:rFonts w:ascii="Arial" w:hAnsi="Arial" w:cs="Arial"/>
          <w:color w:val="auto"/>
          <w:sz w:val="22"/>
          <w:szCs w:val="22"/>
          <w:lang w:val="pl-PL"/>
        </w:rPr>
        <w:t xml:space="preserve"> (str. 17-18)</w:t>
      </w:r>
      <w:r w:rsidR="00077509" w:rsidRPr="00D52A59">
        <w:rPr>
          <w:rFonts w:ascii="Arial" w:hAnsi="Arial" w:cs="Arial"/>
          <w:color w:val="auto"/>
          <w:sz w:val="22"/>
          <w:szCs w:val="22"/>
          <w:lang w:val="pl-PL"/>
        </w:rPr>
        <w:t>.</w:t>
      </w:r>
    </w:p>
    <w:p w14:paraId="1413ABF7" w14:textId="7303097B" w:rsidR="0012765E" w:rsidRPr="007D3CEF" w:rsidRDefault="0012765E" w:rsidP="005546E6">
      <w:pPr>
        <w:pStyle w:val="Akapitzlist1"/>
        <w:ind w:left="672"/>
        <w:rPr>
          <w:rFonts w:ascii="Arial" w:hAnsi="Arial" w:cs="Arial"/>
          <w:color w:val="auto"/>
          <w:sz w:val="22"/>
          <w:szCs w:val="22"/>
          <w:lang w:val="pl-PL"/>
        </w:rPr>
      </w:pPr>
      <w:r>
        <w:rPr>
          <w:rFonts w:ascii="Arial" w:hAnsi="Arial" w:cs="Arial"/>
          <w:sz w:val="22"/>
          <w:szCs w:val="22"/>
          <w:lang w:val="pl-PL"/>
        </w:rPr>
        <w:t xml:space="preserve">Natomiast </w:t>
      </w:r>
      <w:r w:rsidR="00040B2D">
        <w:rPr>
          <w:rFonts w:ascii="Arial" w:hAnsi="Arial" w:cs="Arial"/>
          <w:sz w:val="22"/>
          <w:szCs w:val="22"/>
          <w:lang w:val="pl-PL"/>
        </w:rPr>
        <w:t>wskazane wyjaśnienia</w:t>
      </w:r>
      <w:r w:rsidR="00F175FD">
        <w:rPr>
          <w:rFonts w:ascii="Arial" w:hAnsi="Arial" w:cs="Arial"/>
          <w:sz w:val="22"/>
          <w:szCs w:val="22"/>
          <w:lang w:val="pl-PL"/>
        </w:rPr>
        <w:t>,</w:t>
      </w:r>
      <w:r w:rsidR="00040B2D">
        <w:rPr>
          <w:rFonts w:ascii="Arial" w:hAnsi="Arial" w:cs="Arial"/>
          <w:sz w:val="22"/>
          <w:szCs w:val="22"/>
          <w:lang w:val="pl-PL"/>
        </w:rPr>
        <w:t xml:space="preserve"> </w:t>
      </w:r>
      <w:r>
        <w:rPr>
          <w:rFonts w:ascii="Arial" w:hAnsi="Arial" w:cs="Arial"/>
          <w:sz w:val="22"/>
          <w:szCs w:val="22"/>
          <w:lang w:val="pl-PL"/>
        </w:rPr>
        <w:t xml:space="preserve">odnośnie </w:t>
      </w:r>
      <w:r w:rsidRPr="00E57A8D">
        <w:rPr>
          <w:rFonts w:ascii="Arial" w:hAnsi="Arial" w:cs="Arial"/>
          <w:color w:val="auto"/>
          <w:sz w:val="22"/>
          <w:szCs w:val="22"/>
          <w:lang w:val="pl-PL"/>
        </w:rPr>
        <w:t>faktury nr 2023/01/FV/ADEC/00/6432 z</w:t>
      </w:r>
      <w:r w:rsidR="00124057">
        <w:rPr>
          <w:rFonts w:ascii="Arial" w:hAnsi="Arial" w:cs="Arial"/>
          <w:color w:val="auto"/>
          <w:sz w:val="22"/>
          <w:szCs w:val="22"/>
          <w:lang w:val="pl-PL"/>
        </w:rPr>
        <w:t> </w:t>
      </w:r>
      <w:r w:rsidRPr="00E57A8D">
        <w:rPr>
          <w:rFonts w:ascii="Arial" w:hAnsi="Arial" w:cs="Arial"/>
          <w:color w:val="auto"/>
          <w:sz w:val="22"/>
          <w:szCs w:val="22"/>
          <w:lang w:val="pl-PL"/>
        </w:rPr>
        <w:t>20.01.2023 r. na kwotę 367,77 zł za certyfikat kwalifikowany (dowód księgo</w:t>
      </w:r>
      <w:r>
        <w:rPr>
          <w:rFonts w:ascii="Arial" w:hAnsi="Arial" w:cs="Arial"/>
          <w:color w:val="auto"/>
          <w:sz w:val="22"/>
          <w:szCs w:val="22"/>
          <w:lang w:val="pl-PL"/>
        </w:rPr>
        <w:t>wy</w:t>
      </w:r>
      <w:r w:rsidRPr="00E57A8D">
        <w:rPr>
          <w:rFonts w:ascii="Arial" w:hAnsi="Arial" w:cs="Arial"/>
          <w:color w:val="auto"/>
          <w:sz w:val="22"/>
          <w:szCs w:val="22"/>
          <w:lang w:val="pl-PL"/>
        </w:rPr>
        <w:t xml:space="preserve"> nr</w:t>
      </w:r>
      <w:r w:rsidR="003D3F0F">
        <w:rPr>
          <w:rFonts w:ascii="Arial" w:hAnsi="Arial" w:cs="Arial"/>
          <w:color w:val="auto"/>
          <w:sz w:val="22"/>
          <w:szCs w:val="22"/>
          <w:lang w:val="pl-PL"/>
        </w:rPr>
        <w:t> </w:t>
      </w:r>
      <w:r w:rsidRPr="00E57A8D">
        <w:rPr>
          <w:rFonts w:ascii="Arial" w:hAnsi="Arial" w:cs="Arial"/>
          <w:color w:val="auto"/>
          <w:sz w:val="22"/>
          <w:szCs w:val="22"/>
          <w:lang w:val="pl-PL"/>
        </w:rPr>
        <w:t>1/23/0049)</w:t>
      </w:r>
      <w:r>
        <w:rPr>
          <w:rFonts w:ascii="Arial" w:hAnsi="Arial" w:cs="Arial"/>
          <w:color w:val="auto"/>
          <w:sz w:val="22"/>
          <w:szCs w:val="22"/>
          <w:lang w:val="pl-PL"/>
        </w:rPr>
        <w:t xml:space="preserve"> oraz </w:t>
      </w:r>
      <w:r w:rsidRPr="00E14CFE">
        <w:rPr>
          <w:rFonts w:ascii="Arial" w:hAnsi="Arial" w:cs="Arial"/>
          <w:color w:val="auto"/>
          <w:sz w:val="22"/>
          <w:szCs w:val="22"/>
          <w:lang w:val="pl-PL"/>
        </w:rPr>
        <w:t>faktury nr</w:t>
      </w:r>
      <w:r>
        <w:rPr>
          <w:rFonts w:ascii="Arial" w:hAnsi="Arial" w:cs="Arial"/>
          <w:color w:val="auto"/>
          <w:sz w:val="22"/>
          <w:szCs w:val="22"/>
          <w:lang w:val="pl-PL"/>
        </w:rPr>
        <w:t> </w:t>
      </w:r>
      <w:r w:rsidRPr="00E14CFE">
        <w:rPr>
          <w:rFonts w:ascii="Arial" w:hAnsi="Arial" w:cs="Arial"/>
          <w:color w:val="auto"/>
          <w:sz w:val="22"/>
          <w:szCs w:val="22"/>
          <w:lang w:val="pl-PL"/>
        </w:rPr>
        <w:t>FA/000204/2022/U z 28.12.2022</w:t>
      </w:r>
      <w:r w:rsidR="00040B2D">
        <w:rPr>
          <w:rFonts w:ascii="Arial" w:hAnsi="Arial" w:cs="Arial"/>
          <w:color w:val="auto"/>
          <w:sz w:val="22"/>
          <w:szCs w:val="22"/>
          <w:lang w:val="pl-PL"/>
        </w:rPr>
        <w:t> </w:t>
      </w:r>
      <w:r w:rsidRPr="00E14CFE">
        <w:rPr>
          <w:rFonts w:ascii="Arial" w:hAnsi="Arial" w:cs="Arial"/>
          <w:color w:val="auto"/>
          <w:sz w:val="22"/>
          <w:szCs w:val="22"/>
          <w:lang w:val="pl-PL"/>
        </w:rPr>
        <w:t>r. na kwotę 13 188,06 zł</w:t>
      </w:r>
      <w:r>
        <w:rPr>
          <w:rFonts w:ascii="Arial" w:hAnsi="Arial" w:cs="Arial"/>
          <w:color w:val="auto"/>
          <w:sz w:val="22"/>
          <w:szCs w:val="22"/>
          <w:lang w:val="pl-PL"/>
        </w:rPr>
        <w:t xml:space="preserve"> z</w:t>
      </w:r>
      <w:r w:rsidR="00124057">
        <w:rPr>
          <w:rFonts w:ascii="Arial" w:hAnsi="Arial" w:cs="Arial"/>
          <w:color w:val="auto"/>
          <w:sz w:val="22"/>
          <w:szCs w:val="22"/>
          <w:lang w:val="pl-PL"/>
        </w:rPr>
        <w:t> </w:t>
      </w:r>
      <w:r>
        <w:rPr>
          <w:rFonts w:ascii="Arial" w:hAnsi="Arial" w:cs="Arial"/>
          <w:color w:val="auto"/>
          <w:sz w:val="22"/>
          <w:szCs w:val="22"/>
          <w:lang w:val="pl-PL"/>
        </w:rPr>
        <w:t xml:space="preserve">tytułu </w:t>
      </w:r>
      <w:r w:rsidRPr="00E14CFE">
        <w:rPr>
          <w:rFonts w:ascii="Arial" w:hAnsi="Arial" w:cs="Arial"/>
          <w:color w:val="auto"/>
          <w:sz w:val="22"/>
          <w:szCs w:val="22"/>
          <w:lang w:val="pl-PL"/>
        </w:rPr>
        <w:t>usługi utrzymania infrastruktury przystankowej</w:t>
      </w:r>
      <w:r w:rsidR="00F175FD">
        <w:rPr>
          <w:rFonts w:ascii="Arial" w:hAnsi="Arial" w:cs="Arial"/>
          <w:color w:val="auto"/>
          <w:sz w:val="22"/>
          <w:szCs w:val="22"/>
          <w:lang w:val="pl-PL"/>
        </w:rPr>
        <w:t>,</w:t>
      </w:r>
      <w:r w:rsidRPr="00E14CFE">
        <w:rPr>
          <w:rFonts w:ascii="Arial" w:hAnsi="Arial" w:cs="Arial"/>
          <w:color w:val="auto"/>
          <w:sz w:val="22"/>
          <w:szCs w:val="22"/>
          <w:lang w:val="pl-PL"/>
        </w:rPr>
        <w:t xml:space="preserve"> </w:t>
      </w:r>
      <w:r w:rsidRPr="007D3CEF">
        <w:rPr>
          <w:rFonts w:ascii="Arial" w:hAnsi="Arial" w:cs="Arial"/>
          <w:color w:val="auto"/>
          <w:sz w:val="22"/>
          <w:szCs w:val="22"/>
          <w:lang w:val="pl-PL"/>
        </w:rPr>
        <w:t>uznać należy za zasadne.</w:t>
      </w:r>
    </w:p>
    <w:p w14:paraId="09447513" w14:textId="224C04C3" w:rsidR="003D3F0F" w:rsidRPr="003D3F0F" w:rsidRDefault="0012765E" w:rsidP="005546E6">
      <w:pPr>
        <w:pStyle w:val="Akapitzlist1"/>
        <w:ind w:left="672"/>
        <w:rPr>
          <w:rFonts w:ascii="Arial" w:hAnsi="Arial" w:cs="Arial"/>
          <w:color w:val="auto"/>
          <w:sz w:val="22"/>
          <w:szCs w:val="22"/>
          <w:lang w:val="pl-PL"/>
        </w:rPr>
      </w:pPr>
      <w:r w:rsidRPr="007D3CEF">
        <w:rPr>
          <w:rFonts w:ascii="Arial" w:hAnsi="Arial" w:cs="Arial"/>
          <w:color w:val="auto"/>
          <w:sz w:val="22"/>
          <w:szCs w:val="22"/>
          <w:lang w:val="pl-PL"/>
        </w:rPr>
        <w:t xml:space="preserve">Jednakże, nie sposób zgodzić się z wyjaśnieniem odnośnie ujęcia usługi wykonania pieczątki oraz kluczy w </w:t>
      </w:r>
      <w:r w:rsidR="00F958D7" w:rsidRPr="007D3CEF">
        <w:rPr>
          <w:rFonts w:ascii="Arial" w:hAnsi="Arial" w:cs="Arial"/>
          <w:color w:val="auto"/>
          <w:sz w:val="22"/>
          <w:szCs w:val="22"/>
          <w:lang w:val="pl-PL"/>
        </w:rPr>
        <w:t>§ 4210 zamiast w  § 4300</w:t>
      </w:r>
      <w:r w:rsidR="007E035F" w:rsidRPr="007D3CEF">
        <w:rPr>
          <w:rFonts w:ascii="Arial" w:hAnsi="Arial" w:cs="Arial"/>
          <w:color w:val="auto"/>
          <w:sz w:val="22"/>
          <w:szCs w:val="22"/>
          <w:lang w:val="pl-PL"/>
        </w:rPr>
        <w:t xml:space="preserve"> z uwagi na </w:t>
      </w:r>
      <w:r w:rsidR="004C3B15" w:rsidRPr="007D3CEF">
        <w:rPr>
          <w:rFonts w:ascii="Arial" w:hAnsi="Arial" w:cs="Arial"/>
          <w:color w:val="auto"/>
          <w:sz w:val="22"/>
          <w:szCs w:val="22"/>
          <w:lang w:val="pl-PL"/>
        </w:rPr>
        <w:t>„</w:t>
      </w:r>
      <w:r w:rsidR="007E035F" w:rsidRPr="007D3CEF">
        <w:rPr>
          <w:rFonts w:ascii="Arial" w:hAnsi="Arial" w:cs="Arial"/>
          <w:color w:val="auto"/>
          <w:sz w:val="22"/>
          <w:szCs w:val="22"/>
          <w:lang w:val="pl-PL"/>
        </w:rPr>
        <w:t>cel i otrzymany finalnie produkt</w:t>
      </w:r>
      <w:r w:rsidR="004C3B15" w:rsidRPr="007D3CEF">
        <w:rPr>
          <w:rFonts w:ascii="Arial" w:hAnsi="Arial" w:cs="Arial"/>
          <w:color w:val="auto"/>
          <w:sz w:val="22"/>
          <w:szCs w:val="22"/>
          <w:lang w:val="pl-PL"/>
        </w:rPr>
        <w:t>”</w:t>
      </w:r>
      <w:r w:rsidR="007E035F" w:rsidRPr="007D3CEF">
        <w:rPr>
          <w:rFonts w:ascii="Arial" w:hAnsi="Arial" w:cs="Arial"/>
          <w:color w:val="auto"/>
          <w:sz w:val="22"/>
          <w:szCs w:val="22"/>
          <w:lang w:val="pl-PL"/>
        </w:rPr>
        <w:t xml:space="preserve">. </w:t>
      </w:r>
      <w:r w:rsidR="005542C6" w:rsidRPr="007D3CEF">
        <w:rPr>
          <w:rFonts w:ascii="Arial" w:hAnsi="Arial" w:cs="Arial"/>
          <w:color w:val="auto"/>
          <w:sz w:val="22"/>
          <w:szCs w:val="22"/>
          <w:lang w:val="pl-PL"/>
        </w:rPr>
        <w:t>Prawidłowość zastosowania § 4300 potwierdza</w:t>
      </w:r>
      <w:r w:rsidR="007E035F" w:rsidRPr="007D3CEF">
        <w:rPr>
          <w:rFonts w:ascii="Arial" w:hAnsi="Arial" w:cs="Arial"/>
          <w:color w:val="auto"/>
          <w:sz w:val="22"/>
          <w:szCs w:val="22"/>
          <w:lang w:val="pl-PL"/>
        </w:rPr>
        <w:t xml:space="preserve"> rozstrzygnięcie Ministerstwa Finansów </w:t>
      </w:r>
      <w:r w:rsidR="007E035F" w:rsidRPr="005E119E">
        <w:rPr>
          <w:rFonts w:ascii="Arial" w:hAnsi="Arial" w:cs="Arial"/>
          <w:color w:val="auto"/>
          <w:sz w:val="22"/>
          <w:szCs w:val="22"/>
          <w:lang w:val="pl-PL"/>
        </w:rPr>
        <w:t>w</w:t>
      </w:r>
      <w:r w:rsidR="005542C6" w:rsidRPr="005E119E">
        <w:rPr>
          <w:rFonts w:ascii="Arial" w:hAnsi="Arial" w:cs="Arial"/>
          <w:color w:val="auto"/>
          <w:sz w:val="22"/>
          <w:szCs w:val="22"/>
          <w:lang w:val="pl-PL"/>
        </w:rPr>
        <w:t> </w:t>
      </w:r>
      <w:r w:rsidR="007E035F" w:rsidRPr="005E119E">
        <w:rPr>
          <w:rFonts w:ascii="Arial" w:hAnsi="Arial" w:cs="Arial"/>
          <w:color w:val="auto"/>
          <w:sz w:val="22"/>
          <w:szCs w:val="22"/>
          <w:lang w:val="pl-PL"/>
        </w:rPr>
        <w:t>zakresie usługi wykonania pieczątek (nr BP1/4071/57_475/KIM/2014 z</w:t>
      </w:r>
      <w:r w:rsidR="00124057">
        <w:rPr>
          <w:rFonts w:ascii="Arial" w:hAnsi="Arial" w:cs="Arial"/>
          <w:color w:val="auto"/>
          <w:sz w:val="22"/>
          <w:szCs w:val="22"/>
          <w:lang w:val="pl-PL"/>
        </w:rPr>
        <w:t> </w:t>
      </w:r>
      <w:r w:rsidR="007E035F" w:rsidRPr="005E119E">
        <w:rPr>
          <w:rFonts w:ascii="Arial" w:hAnsi="Arial" w:cs="Arial"/>
          <w:color w:val="auto"/>
          <w:sz w:val="22"/>
          <w:szCs w:val="22"/>
          <w:lang w:val="pl-PL"/>
        </w:rPr>
        <w:t xml:space="preserve">25.03.2015 r.), </w:t>
      </w:r>
      <w:r w:rsidR="007E035F" w:rsidRPr="00F175FD">
        <w:rPr>
          <w:rFonts w:ascii="Arial" w:hAnsi="Arial" w:cs="Arial"/>
          <w:color w:val="auto"/>
          <w:sz w:val="22"/>
          <w:szCs w:val="22"/>
          <w:lang w:val="pl-PL"/>
        </w:rPr>
        <w:t xml:space="preserve">wskazujące, </w:t>
      </w:r>
      <w:r w:rsidR="005542C6" w:rsidRPr="00F175FD">
        <w:rPr>
          <w:rFonts w:ascii="Arial" w:hAnsi="Arial" w:cs="Arial"/>
          <w:color w:val="auto"/>
          <w:sz w:val="22"/>
          <w:szCs w:val="22"/>
          <w:lang w:val="pl-PL"/>
        </w:rPr>
        <w:t>„</w:t>
      </w:r>
      <w:r w:rsidR="007E035F" w:rsidRPr="00784D02">
        <w:rPr>
          <w:rFonts w:ascii="Arial" w:hAnsi="Arial" w:cs="Arial"/>
          <w:i/>
          <w:iCs/>
          <w:color w:val="auto"/>
          <w:sz w:val="22"/>
          <w:szCs w:val="22"/>
          <w:lang w:val="pl-PL"/>
        </w:rPr>
        <w:t>że zakup usług należy klasyfikować w podziałkach dedykowanych usługom. Należy zwrócić uwagę, że faktura to dokument odnoszący się do podatku od towarów (VAT) i</w:t>
      </w:r>
      <w:r w:rsidR="005542C6" w:rsidRPr="00784D02">
        <w:rPr>
          <w:rFonts w:ascii="Arial" w:hAnsi="Arial" w:cs="Arial"/>
          <w:i/>
          <w:iCs/>
          <w:color w:val="auto"/>
          <w:sz w:val="22"/>
          <w:szCs w:val="22"/>
          <w:lang w:val="pl-PL"/>
        </w:rPr>
        <w:t> </w:t>
      </w:r>
      <w:r w:rsidR="007E035F" w:rsidRPr="00784D02">
        <w:rPr>
          <w:rFonts w:ascii="Arial" w:hAnsi="Arial" w:cs="Arial"/>
          <w:i/>
          <w:iCs/>
          <w:color w:val="auto"/>
          <w:sz w:val="22"/>
          <w:szCs w:val="22"/>
          <w:lang w:val="pl-PL"/>
        </w:rPr>
        <w:t xml:space="preserve">rodzaju usług. To, czy nabywamy usługę czy towar, udokumentowane jest poprawnie wystawioną fakturą. Faktura dowodząca, </w:t>
      </w:r>
      <w:r w:rsidR="007E035F" w:rsidRPr="00784D02">
        <w:rPr>
          <w:rFonts w:ascii="Arial" w:hAnsi="Arial" w:cs="Arial"/>
          <w:i/>
          <w:iCs/>
          <w:color w:val="auto"/>
          <w:sz w:val="22"/>
          <w:szCs w:val="22"/>
          <w:lang w:val="pl-PL"/>
        </w:rPr>
        <w:lastRenderedPageBreak/>
        <w:t>że</w:t>
      </w:r>
      <w:r w:rsidR="003D3F0F">
        <w:rPr>
          <w:rFonts w:ascii="Arial" w:hAnsi="Arial" w:cs="Arial"/>
          <w:i/>
          <w:iCs/>
          <w:color w:val="auto"/>
          <w:sz w:val="22"/>
          <w:szCs w:val="22"/>
          <w:lang w:val="pl-PL"/>
        </w:rPr>
        <w:t> </w:t>
      </w:r>
      <w:r w:rsidR="007E035F" w:rsidRPr="00784D02">
        <w:rPr>
          <w:rFonts w:ascii="Arial" w:hAnsi="Arial" w:cs="Arial"/>
          <w:i/>
          <w:iCs/>
          <w:color w:val="auto"/>
          <w:sz w:val="22"/>
          <w:szCs w:val="22"/>
          <w:lang w:val="pl-PL"/>
        </w:rPr>
        <w:t>jednostka zakupiła usługę wykonania pieczątki, w podziałkach klasyfikacji budżetowej powinna być zaprezentowana jako usługa</w:t>
      </w:r>
      <w:r w:rsidR="00040B2D" w:rsidRPr="005E119E">
        <w:rPr>
          <w:rFonts w:ascii="Arial" w:hAnsi="Arial" w:cs="Arial"/>
          <w:color w:val="auto"/>
          <w:sz w:val="22"/>
          <w:szCs w:val="22"/>
          <w:lang w:val="pl-PL"/>
        </w:rPr>
        <w:t>”</w:t>
      </w:r>
      <w:r w:rsidR="007E035F" w:rsidRPr="005E119E">
        <w:rPr>
          <w:rFonts w:ascii="Arial" w:hAnsi="Arial" w:cs="Arial"/>
          <w:color w:val="auto"/>
          <w:sz w:val="22"/>
          <w:szCs w:val="22"/>
          <w:lang w:val="pl-PL"/>
        </w:rPr>
        <w:t>.</w:t>
      </w:r>
      <w:r w:rsidR="00CB1FE3" w:rsidRPr="005E119E">
        <w:rPr>
          <w:rFonts w:ascii="Arial" w:hAnsi="Arial" w:cs="Arial"/>
          <w:color w:val="auto"/>
          <w:sz w:val="22"/>
          <w:szCs w:val="22"/>
          <w:lang w:val="pl-PL"/>
        </w:rPr>
        <w:t xml:space="preserve"> Zatem w przypadku zakupienia przedmiotu z usługą wykonania (który zgodnie z polityką rachunkowości </w:t>
      </w:r>
      <w:r w:rsidR="003D3F0F">
        <w:rPr>
          <w:rFonts w:ascii="Arial" w:hAnsi="Arial" w:cs="Arial"/>
          <w:color w:val="auto"/>
          <w:sz w:val="22"/>
          <w:szCs w:val="22"/>
          <w:lang w:val="pl-PL"/>
        </w:rPr>
        <w:br/>
      </w:r>
      <w:r w:rsidR="00CB1FE3" w:rsidRPr="005E119E">
        <w:rPr>
          <w:rFonts w:ascii="Arial" w:hAnsi="Arial" w:cs="Arial"/>
          <w:color w:val="auto"/>
          <w:sz w:val="22"/>
          <w:szCs w:val="22"/>
          <w:lang w:val="pl-PL"/>
        </w:rPr>
        <w:t>przyjętą w</w:t>
      </w:r>
      <w:r w:rsidR="003D3F0F">
        <w:rPr>
          <w:rFonts w:ascii="Arial" w:hAnsi="Arial" w:cs="Arial"/>
          <w:color w:val="auto"/>
          <w:sz w:val="22"/>
          <w:szCs w:val="22"/>
          <w:lang w:val="pl-PL"/>
        </w:rPr>
        <w:t> </w:t>
      </w:r>
      <w:r w:rsidR="00CB1FE3" w:rsidRPr="005E119E">
        <w:rPr>
          <w:rFonts w:ascii="Arial" w:hAnsi="Arial" w:cs="Arial"/>
          <w:color w:val="auto"/>
          <w:sz w:val="22"/>
          <w:szCs w:val="22"/>
          <w:lang w:val="pl-PL"/>
        </w:rPr>
        <w:t xml:space="preserve">danej jednostce nie stanowi środka trwałego), gdy na fakturze nie ma </w:t>
      </w:r>
      <w:r w:rsidR="00CB1FE3" w:rsidRPr="003D3F0F">
        <w:rPr>
          <w:rFonts w:ascii="Arial" w:hAnsi="Arial" w:cs="Arial"/>
          <w:color w:val="auto"/>
          <w:sz w:val="22"/>
          <w:szCs w:val="22"/>
          <w:lang w:val="pl-PL"/>
        </w:rPr>
        <w:t>podziału na materiał i usługę, może być zastosowany paragraf 430 „Zakup usług pozostałych”, z</w:t>
      </w:r>
      <w:r w:rsidR="003D3F0F" w:rsidRPr="003D3F0F">
        <w:rPr>
          <w:rFonts w:ascii="Arial" w:hAnsi="Arial" w:cs="Arial"/>
          <w:color w:val="auto"/>
          <w:sz w:val="22"/>
          <w:szCs w:val="22"/>
          <w:lang w:val="pl-PL"/>
        </w:rPr>
        <w:t> </w:t>
      </w:r>
      <w:r w:rsidR="00CB1FE3" w:rsidRPr="003D3F0F">
        <w:rPr>
          <w:rFonts w:ascii="Arial" w:hAnsi="Arial" w:cs="Arial"/>
          <w:color w:val="auto"/>
          <w:sz w:val="22"/>
          <w:szCs w:val="22"/>
          <w:lang w:val="pl-PL"/>
        </w:rPr>
        <w:t>odpowiednią czwartą cyfrą. Natomiast, gdy na fakturze wyodrębniono materiał, wówczas należy zaklasyfikować go w paragrafie 421 „Zakup materiałów i</w:t>
      </w:r>
      <w:r w:rsidR="003D3F0F" w:rsidRPr="003D3F0F">
        <w:rPr>
          <w:rFonts w:ascii="Arial" w:hAnsi="Arial" w:cs="Arial"/>
          <w:color w:val="auto"/>
          <w:sz w:val="22"/>
          <w:szCs w:val="22"/>
          <w:lang w:val="pl-PL"/>
        </w:rPr>
        <w:t> </w:t>
      </w:r>
      <w:r w:rsidR="00CB1FE3" w:rsidRPr="003D3F0F">
        <w:rPr>
          <w:rFonts w:ascii="Arial" w:hAnsi="Arial" w:cs="Arial"/>
          <w:color w:val="auto"/>
          <w:sz w:val="22"/>
          <w:szCs w:val="22"/>
          <w:lang w:val="pl-PL"/>
        </w:rPr>
        <w:t xml:space="preserve">wyposażenia”, z odpowiednią czwartą cyfrą, natomiast usługę wykonania </w:t>
      </w:r>
      <w:r w:rsidR="003D3F0F" w:rsidRPr="003D3F0F">
        <w:rPr>
          <w:rFonts w:ascii="Arial" w:hAnsi="Arial" w:cs="Arial"/>
          <w:color w:val="auto"/>
          <w:sz w:val="22"/>
          <w:szCs w:val="22"/>
          <w:lang w:val="pl-PL"/>
        </w:rPr>
        <w:br/>
      </w:r>
      <w:r w:rsidR="00CB1FE3" w:rsidRPr="003D3F0F">
        <w:rPr>
          <w:rFonts w:ascii="Arial" w:hAnsi="Arial" w:cs="Arial"/>
          <w:color w:val="auto"/>
          <w:sz w:val="22"/>
          <w:szCs w:val="22"/>
          <w:lang w:val="pl-PL"/>
        </w:rPr>
        <w:t>w paragrafie 430.</w:t>
      </w:r>
    </w:p>
    <w:p w14:paraId="56A93264" w14:textId="5E09AA6B" w:rsidR="004C3B15" w:rsidRPr="003D3F0F" w:rsidRDefault="001F75E0" w:rsidP="00172B20">
      <w:pPr>
        <w:pStyle w:val="Akapitzlist1"/>
        <w:numPr>
          <w:ilvl w:val="0"/>
          <w:numId w:val="10"/>
        </w:numPr>
        <w:ind w:left="700" w:hanging="700"/>
        <w:rPr>
          <w:rFonts w:ascii="Arial" w:hAnsi="Arial" w:cs="Arial"/>
          <w:color w:val="auto"/>
          <w:sz w:val="22"/>
          <w:szCs w:val="22"/>
          <w:lang w:val="pl-PL"/>
        </w:rPr>
      </w:pPr>
      <w:r w:rsidRPr="003D3F0F">
        <w:rPr>
          <w:rFonts w:ascii="Arial" w:hAnsi="Arial" w:cs="Arial"/>
          <w:sz w:val="22"/>
          <w:szCs w:val="22"/>
        </w:rPr>
        <w:t xml:space="preserve">W </w:t>
      </w:r>
      <w:r w:rsidRPr="003D3F0F">
        <w:rPr>
          <w:rFonts w:ascii="Arial" w:hAnsi="Arial" w:cs="Arial"/>
          <w:sz w:val="22"/>
          <w:szCs w:val="22"/>
          <w:lang w:val="pl-PL"/>
        </w:rPr>
        <w:t>zakresie wyjaśnień dot. użytkowania samochodów na wstępie podkreślić należy, że</w:t>
      </w:r>
      <w:r w:rsidRPr="003D3F0F">
        <w:rPr>
          <w:rFonts w:ascii="Arial" w:hAnsi="Arial" w:cs="Arial"/>
          <w:sz w:val="22"/>
          <w:szCs w:val="22"/>
        </w:rPr>
        <w:t xml:space="preserve"> w czasie prowadzonych czynności kontrolnych pracownicy MZUIM ani razu nie podnosili argumentów dotyczących „</w:t>
      </w:r>
      <w:r w:rsidRPr="003D3F0F">
        <w:rPr>
          <w:rFonts w:ascii="Arial" w:hAnsi="Arial" w:cs="Arial"/>
          <w:i/>
          <w:iCs/>
          <w:sz w:val="22"/>
          <w:szCs w:val="22"/>
        </w:rPr>
        <w:t>znacznego zużycia eksploatacyjnego</w:t>
      </w:r>
      <w:r w:rsidRPr="003D3F0F">
        <w:rPr>
          <w:rFonts w:ascii="Arial" w:hAnsi="Arial" w:cs="Arial"/>
          <w:sz w:val="22"/>
          <w:szCs w:val="22"/>
        </w:rPr>
        <w:t>” pojazdów oraz ich „</w:t>
      </w:r>
      <w:r w:rsidRPr="003D3F0F">
        <w:rPr>
          <w:rFonts w:ascii="Arial" w:hAnsi="Arial" w:cs="Arial"/>
          <w:i/>
          <w:iCs/>
          <w:sz w:val="22"/>
          <w:szCs w:val="22"/>
        </w:rPr>
        <w:t>niskiego poziomu bezpieczeństwa</w:t>
      </w:r>
      <w:r w:rsidRPr="003D3F0F">
        <w:rPr>
          <w:rFonts w:ascii="Arial" w:hAnsi="Arial" w:cs="Arial"/>
          <w:sz w:val="22"/>
          <w:szCs w:val="22"/>
        </w:rPr>
        <w:t xml:space="preserve">”, trudno zatem kontrolującym odnieść się do tych wyjaśnień. Ponadto, wydaje się, że jeżeli samochody pozytywnie przeszły przegląd techniczny i zostały dopuszczone </w:t>
      </w:r>
      <w:r w:rsidRPr="003D3F0F">
        <w:rPr>
          <w:rFonts w:ascii="Arial" w:hAnsi="Arial" w:cs="Arial"/>
          <w:sz w:val="22"/>
          <w:szCs w:val="22"/>
          <w:lang w:val="pl-PL"/>
        </w:rPr>
        <w:t>do jazdy, nie powinny budzi</w:t>
      </w:r>
      <w:r w:rsidR="00124057" w:rsidRPr="003D3F0F">
        <w:rPr>
          <w:rFonts w:ascii="Arial" w:hAnsi="Arial" w:cs="Arial"/>
          <w:sz w:val="22"/>
          <w:szCs w:val="22"/>
          <w:lang w:val="pl-PL"/>
        </w:rPr>
        <w:t xml:space="preserve">ć </w:t>
      </w:r>
      <w:r w:rsidRPr="003D3F0F">
        <w:rPr>
          <w:rFonts w:ascii="Arial" w:hAnsi="Arial" w:cs="Arial"/>
          <w:sz w:val="22"/>
          <w:szCs w:val="22"/>
          <w:lang w:val="pl-PL"/>
        </w:rPr>
        <w:t xml:space="preserve">wątpliwości co do poziomu bezpieczeństwa. Jeżeli jednak ich standard nie odpowiada pracownikom </w:t>
      </w:r>
      <w:proofErr w:type="spellStart"/>
      <w:r w:rsidRPr="003D3F0F">
        <w:rPr>
          <w:rFonts w:ascii="Arial" w:hAnsi="Arial" w:cs="Arial"/>
          <w:sz w:val="22"/>
          <w:szCs w:val="22"/>
          <w:lang w:val="pl-PL"/>
        </w:rPr>
        <w:t>MZUiM</w:t>
      </w:r>
      <w:proofErr w:type="spellEnd"/>
      <w:r w:rsidRPr="003D3F0F">
        <w:rPr>
          <w:rFonts w:ascii="Arial" w:hAnsi="Arial" w:cs="Arial"/>
          <w:sz w:val="22"/>
          <w:szCs w:val="22"/>
          <w:lang w:val="pl-PL"/>
        </w:rPr>
        <w:t xml:space="preserve">, to z ekonomicznego punktu widzenia, należałaby rozważyć możliwość ich </w:t>
      </w:r>
      <w:r w:rsidR="00124057" w:rsidRPr="003D3F0F">
        <w:rPr>
          <w:rFonts w:ascii="Arial" w:hAnsi="Arial" w:cs="Arial"/>
          <w:sz w:val="22"/>
          <w:szCs w:val="22"/>
          <w:lang w:val="pl-PL"/>
        </w:rPr>
        <w:t xml:space="preserve">przekazania innej jednostce lub </w:t>
      </w:r>
      <w:r w:rsidRPr="003D3F0F">
        <w:rPr>
          <w:rFonts w:ascii="Arial" w:hAnsi="Arial" w:cs="Arial"/>
          <w:sz w:val="22"/>
          <w:szCs w:val="22"/>
          <w:lang w:val="pl-PL"/>
        </w:rPr>
        <w:t>sprzedaży, w celu wyeliminowania kosztów ponoszonych na ich utrzymanie. Zaznaczyć należy, że w złożonych wyjaśnieniach podkreślono, że znaczne zużycie samochodów wynika z „</w:t>
      </w:r>
      <w:r w:rsidRPr="003D3F0F">
        <w:rPr>
          <w:rFonts w:ascii="Arial" w:hAnsi="Arial" w:cs="Arial"/>
          <w:i/>
          <w:iCs/>
          <w:sz w:val="22"/>
          <w:szCs w:val="22"/>
          <w:lang w:val="pl-PL"/>
        </w:rPr>
        <w:t>12 lat użytkowania jako samochód służbowy</w:t>
      </w:r>
      <w:r w:rsidRPr="003D3F0F">
        <w:rPr>
          <w:rFonts w:ascii="Arial" w:hAnsi="Arial" w:cs="Arial"/>
          <w:sz w:val="22"/>
          <w:szCs w:val="22"/>
          <w:lang w:val="pl-PL"/>
        </w:rPr>
        <w:t>”. Tymczasem zarówno w protokole kontroli z</w:t>
      </w:r>
      <w:r w:rsidR="000B0B1F" w:rsidRPr="003D3F0F">
        <w:rPr>
          <w:rFonts w:ascii="Arial" w:hAnsi="Arial" w:cs="Arial"/>
          <w:sz w:val="22"/>
          <w:szCs w:val="22"/>
          <w:lang w:val="pl-PL"/>
        </w:rPr>
        <w:t> </w:t>
      </w:r>
      <w:r w:rsidRPr="003D3F0F">
        <w:rPr>
          <w:rFonts w:ascii="Arial" w:hAnsi="Arial" w:cs="Arial"/>
          <w:sz w:val="22"/>
          <w:szCs w:val="22"/>
          <w:lang w:val="pl-PL"/>
        </w:rPr>
        <w:t>2017 r. jak i protokole kontroli, do którego odnoszą się przedmiotowe wyjaśnienia</w:t>
      </w:r>
      <w:r w:rsidRPr="003D3F0F">
        <w:rPr>
          <w:rFonts w:ascii="Arial" w:hAnsi="Arial" w:cs="Arial"/>
          <w:sz w:val="22"/>
          <w:szCs w:val="22"/>
        </w:rPr>
        <w:t xml:space="preserve"> wskazywano na nieefektywne używanie samochodów służbowych, podając jednocześnie przykłady potwierdzające, że samochody używane są zaledwie </w:t>
      </w:r>
      <w:r w:rsidRPr="003D3F0F">
        <w:rPr>
          <w:rFonts w:ascii="Arial" w:hAnsi="Arial" w:cs="Arial"/>
          <w:bCs/>
          <w:sz w:val="22"/>
          <w:szCs w:val="22"/>
        </w:rPr>
        <w:t xml:space="preserve">przez kilka godzin w ciągu </w:t>
      </w:r>
      <w:r w:rsidRPr="003D3F0F">
        <w:rPr>
          <w:rFonts w:ascii="Arial" w:hAnsi="Arial" w:cs="Arial"/>
          <w:bCs/>
          <w:sz w:val="22"/>
          <w:szCs w:val="22"/>
          <w:lang w:val="pl-PL"/>
        </w:rPr>
        <w:t>8 godzinnego czasu pracy. W dalszej części wyjaśnienia podkreślono, że „</w:t>
      </w:r>
      <w:r w:rsidRPr="003D3F0F">
        <w:rPr>
          <w:rFonts w:ascii="Arial" w:hAnsi="Arial" w:cs="Arial"/>
          <w:bCs/>
          <w:i/>
          <w:iCs/>
          <w:sz w:val="22"/>
          <w:szCs w:val="22"/>
          <w:lang w:val="pl-PL"/>
        </w:rPr>
        <w:t>niemożliwe jest wykonywanie ciążących obowiązków na jednostkę 2</w:t>
      </w:r>
      <w:r w:rsidR="000B0B1F" w:rsidRPr="003D3F0F">
        <w:rPr>
          <w:rFonts w:ascii="Arial" w:hAnsi="Arial" w:cs="Arial"/>
          <w:bCs/>
          <w:i/>
          <w:iCs/>
          <w:sz w:val="22"/>
          <w:szCs w:val="22"/>
          <w:lang w:val="pl-PL"/>
        </w:rPr>
        <w:t> </w:t>
      </w:r>
      <w:r w:rsidRPr="003D3F0F">
        <w:rPr>
          <w:rFonts w:ascii="Arial" w:hAnsi="Arial" w:cs="Arial"/>
          <w:bCs/>
          <w:i/>
          <w:iCs/>
          <w:sz w:val="22"/>
          <w:szCs w:val="22"/>
          <w:lang w:val="pl-PL"/>
        </w:rPr>
        <w:t>szt., samochodami osobowymi”,</w:t>
      </w:r>
      <w:r w:rsidRPr="003D3F0F">
        <w:rPr>
          <w:rFonts w:ascii="Arial" w:hAnsi="Arial" w:cs="Arial"/>
          <w:bCs/>
          <w:sz w:val="22"/>
          <w:szCs w:val="22"/>
          <w:lang w:val="pl-PL"/>
        </w:rPr>
        <w:t xml:space="preserve"> co stoi w sprzeczności z faktem, że  są one wykorzystywane w niewielkim stopniu i tym bardziej potwierdza tezę kontrolujących, że</w:t>
      </w:r>
      <w:r w:rsidR="003D3F0F" w:rsidRPr="003D3F0F">
        <w:rPr>
          <w:rFonts w:ascii="Arial" w:hAnsi="Arial" w:cs="Arial"/>
          <w:bCs/>
          <w:sz w:val="22"/>
          <w:szCs w:val="22"/>
          <w:lang w:val="pl-PL"/>
        </w:rPr>
        <w:t> </w:t>
      </w:r>
      <w:r w:rsidRPr="003D3F0F">
        <w:rPr>
          <w:rFonts w:ascii="Arial" w:hAnsi="Arial" w:cs="Arial"/>
          <w:bCs/>
          <w:sz w:val="22"/>
          <w:szCs w:val="22"/>
          <w:lang w:val="pl-PL"/>
        </w:rPr>
        <w:t xml:space="preserve">samochody służbowe powinny być wykorzystywane do maksimum. </w:t>
      </w:r>
    </w:p>
    <w:p w14:paraId="07C6ECF6" w14:textId="75B512C7" w:rsidR="003D3F0F" w:rsidRPr="003D3F0F" w:rsidRDefault="005542C6" w:rsidP="00172B20">
      <w:pPr>
        <w:pStyle w:val="Akapitzlist1"/>
        <w:numPr>
          <w:ilvl w:val="0"/>
          <w:numId w:val="6"/>
        </w:numPr>
        <w:ind w:left="672" w:hanging="672"/>
        <w:rPr>
          <w:rFonts w:ascii="Arial" w:hAnsi="Arial" w:cs="Arial"/>
          <w:color w:val="auto"/>
          <w:sz w:val="22"/>
          <w:szCs w:val="22"/>
          <w:lang w:val="pl-PL"/>
        </w:rPr>
      </w:pPr>
      <w:r w:rsidRPr="003D3F0F">
        <w:rPr>
          <w:rFonts w:ascii="Arial" w:hAnsi="Arial" w:cs="Arial"/>
          <w:color w:val="auto"/>
          <w:sz w:val="22"/>
          <w:szCs w:val="22"/>
          <w:lang w:val="pl-PL"/>
        </w:rPr>
        <w:t xml:space="preserve">Odnośnie wyjaśnień w zakresie pkt. 4.1.7 </w:t>
      </w:r>
      <w:r w:rsidR="001F6185" w:rsidRPr="003D3F0F">
        <w:rPr>
          <w:rFonts w:ascii="Arial" w:hAnsi="Arial" w:cs="Arial"/>
          <w:color w:val="auto"/>
          <w:sz w:val="22"/>
          <w:szCs w:val="22"/>
          <w:lang w:val="pl-PL"/>
        </w:rPr>
        <w:t>wskazać należy, że księgi rachunkowe, w</w:t>
      </w:r>
      <w:r w:rsidR="000B0B1F" w:rsidRPr="003D3F0F">
        <w:rPr>
          <w:rFonts w:ascii="Arial" w:hAnsi="Arial" w:cs="Arial"/>
          <w:color w:val="auto"/>
          <w:sz w:val="22"/>
          <w:szCs w:val="22"/>
          <w:lang w:val="pl-PL"/>
        </w:rPr>
        <w:t> </w:t>
      </w:r>
      <w:r w:rsidR="001F6185" w:rsidRPr="003D3F0F">
        <w:rPr>
          <w:rFonts w:ascii="Arial" w:hAnsi="Arial" w:cs="Arial"/>
          <w:color w:val="auto"/>
          <w:sz w:val="22"/>
          <w:szCs w:val="22"/>
          <w:lang w:val="pl-PL"/>
        </w:rPr>
        <w:t xml:space="preserve">myśl </w:t>
      </w:r>
      <w:hyperlink r:id="rId7" w:anchor="/document/16796295?unitId=art(24)ust(1)&amp;cm=DOCUMENT" w:history="1">
        <w:r w:rsidR="001F6185" w:rsidRPr="003D3F0F">
          <w:rPr>
            <w:rStyle w:val="Hipercze"/>
            <w:rFonts w:ascii="Arial" w:hAnsi="Arial" w:cs="Arial"/>
            <w:color w:val="auto"/>
            <w:sz w:val="22"/>
            <w:szCs w:val="22"/>
            <w:u w:val="none"/>
            <w:lang w:val="pl-PL"/>
          </w:rPr>
          <w:t>art. 24 ust. 1</w:t>
        </w:r>
      </w:hyperlink>
      <w:r w:rsidR="001F6185" w:rsidRPr="003D3F0F">
        <w:rPr>
          <w:rFonts w:ascii="Arial" w:hAnsi="Arial" w:cs="Arial"/>
          <w:color w:val="auto"/>
          <w:sz w:val="22"/>
          <w:szCs w:val="22"/>
          <w:lang w:val="pl-PL"/>
        </w:rPr>
        <w:t xml:space="preserve"> ustawy powinny być prowadzone rzetelnie, bezbłędnie, sprawdzalnie i bieżąco. Warunkiem uznania ksiąg rachunkowych za rzetelne, zgodnie z </w:t>
      </w:r>
      <w:hyperlink r:id="rId8" w:anchor="/document/16796295?unitId=art(24)ust(2)&amp;cm=DOCUMENT" w:history="1">
        <w:r w:rsidR="001F6185" w:rsidRPr="003D3F0F">
          <w:rPr>
            <w:rStyle w:val="Hipercze"/>
            <w:rFonts w:ascii="Arial" w:hAnsi="Arial" w:cs="Arial"/>
            <w:color w:val="auto"/>
            <w:sz w:val="22"/>
            <w:szCs w:val="22"/>
            <w:u w:val="none"/>
            <w:lang w:val="pl-PL"/>
          </w:rPr>
          <w:t>art. 24 ust. 2</w:t>
        </w:r>
      </w:hyperlink>
      <w:r w:rsidR="001F6185" w:rsidRPr="003D3F0F">
        <w:rPr>
          <w:rFonts w:ascii="Arial" w:hAnsi="Arial" w:cs="Arial"/>
          <w:color w:val="auto"/>
          <w:sz w:val="22"/>
          <w:szCs w:val="22"/>
          <w:lang w:val="pl-PL"/>
        </w:rPr>
        <w:t xml:space="preserve"> </w:t>
      </w:r>
      <w:proofErr w:type="spellStart"/>
      <w:r w:rsidR="001F6185" w:rsidRPr="003D3F0F">
        <w:rPr>
          <w:rFonts w:ascii="Arial" w:hAnsi="Arial" w:cs="Arial"/>
          <w:color w:val="auto"/>
          <w:sz w:val="22"/>
          <w:szCs w:val="22"/>
          <w:lang w:val="pl-PL"/>
        </w:rPr>
        <w:t>uor</w:t>
      </w:r>
      <w:proofErr w:type="spellEnd"/>
      <w:r w:rsidR="001F6185" w:rsidRPr="003D3F0F">
        <w:rPr>
          <w:rFonts w:ascii="Arial" w:hAnsi="Arial" w:cs="Arial"/>
          <w:color w:val="auto"/>
          <w:sz w:val="22"/>
          <w:szCs w:val="22"/>
          <w:lang w:val="pl-PL"/>
        </w:rPr>
        <w:t xml:space="preserve">., jest dokonywanie w nich zapisów odzwierciedlających </w:t>
      </w:r>
      <w:r w:rsidR="003D3F0F">
        <w:rPr>
          <w:rFonts w:ascii="Arial" w:hAnsi="Arial" w:cs="Arial"/>
          <w:color w:val="auto"/>
          <w:sz w:val="22"/>
          <w:szCs w:val="22"/>
          <w:lang w:val="pl-PL"/>
        </w:rPr>
        <w:br/>
      </w:r>
      <w:r w:rsidR="001F6185" w:rsidRPr="003D3F0F">
        <w:rPr>
          <w:rFonts w:ascii="Arial" w:hAnsi="Arial" w:cs="Arial"/>
          <w:color w:val="auto"/>
          <w:sz w:val="22"/>
          <w:szCs w:val="22"/>
          <w:lang w:val="pl-PL"/>
        </w:rPr>
        <w:t xml:space="preserve">stan rzeczywisty. Natomiast jednym z warunków prowadzenia ksiąg na bieżąco, </w:t>
      </w:r>
      <w:r w:rsidR="003D3F0F">
        <w:rPr>
          <w:rFonts w:ascii="Arial" w:hAnsi="Arial" w:cs="Arial"/>
          <w:color w:val="auto"/>
          <w:sz w:val="22"/>
          <w:szCs w:val="22"/>
          <w:lang w:val="pl-PL"/>
        </w:rPr>
        <w:br/>
      </w:r>
      <w:r w:rsidR="001F6185" w:rsidRPr="003D3F0F">
        <w:rPr>
          <w:rFonts w:ascii="Arial" w:hAnsi="Arial" w:cs="Arial"/>
          <w:color w:val="auto"/>
          <w:sz w:val="22"/>
          <w:szCs w:val="22"/>
          <w:lang w:val="pl-PL"/>
        </w:rPr>
        <w:t>w myśl art. 24 ust. 5 pkt 3 (</w:t>
      </w:r>
      <w:r w:rsidRPr="003D3F0F">
        <w:rPr>
          <w:rFonts w:ascii="Arial" w:hAnsi="Arial" w:cs="Arial"/>
          <w:color w:val="auto"/>
          <w:sz w:val="22"/>
          <w:szCs w:val="22"/>
          <w:lang w:val="pl-PL"/>
        </w:rPr>
        <w:t xml:space="preserve">jak </w:t>
      </w:r>
      <w:r w:rsidR="001F6185" w:rsidRPr="003D3F0F">
        <w:rPr>
          <w:rFonts w:ascii="Arial" w:hAnsi="Arial" w:cs="Arial"/>
          <w:color w:val="auto"/>
          <w:sz w:val="22"/>
          <w:szCs w:val="22"/>
          <w:lang w:val="pl-PL"/>
        </w:rPr>
        <w:t>to przytoczono</w:t>
      </w:r>
      <w:r w:rsidRPr="003D3F0F">
        <w:rPr>
          <w:rFonts w:ascii="Arial" w:hAnsi="Arial" w:cs="Arial"/>
          <w:color w:val="auto"/>
          <w:sz w:val="22"/>
          <w:szCs w:val="22"/>
          <w:lang w:val="pl-PL"/>
        </w:rPr>
        <w:t xml:space="preserve"> </w:t>
      </w:r>
      <w:r w:rsidR="00D453CC" w:rsidRPr="003D3F0F">
        <w:rPr>
          <w:rFonts w:ascii="Arial" w:hAnsi="Arial" w:cs="Arial"/>
          <w:color w:val="auto"/>
          <w:sz w:val="22"/>
          <w:szCs w:val="22"/>
          <w:lang w:val="pl-PL"/>
        </w:rPr>
        <w:t xml:space="preserve">również </w:t>
      </w:r>
      <w:r w:rsidRPr="003D3F0F">
        <w:rPr>
          <w:rFonts w:ascii="Arial" w:hAnsi="Arial" w:cs="Arial"/>
          <w:color w:val="auto"/>
          <w:sz w:val="22"/>
          <w:szCs w:val="22"/>
          <w:lang w:val="pl-PL"/>
        </w:rPr>
        <w:t xml:space="preserve">w </w:t>
      </w:r>
      <w:r w:rsidR="009101FD" w:rsidRPr="003D3F0F">
        <w:rPr>
          <w:rFonts w:ascii="Arial" w:hAnsi="Arial" w:cs="Arial"/>
          <w:color w:val="auto"/>
          <w:sz w:val="22"/>
          <w:szCs w:val="22"/>
          <w:lang w:val="pl-PL"/>
        </w:rPr>
        <w:t>piśmie</w:t>
      </w:r>
      <w:r w:rsidR="003D3F0F">
        <w:rPr>
          <w:rFonts w:ascii="Arial" w:hAnsi="Arial" w:cs="Arial"/>
          <w:color w:val="auto"/>
          <w:sz w:val="22"/>
          <w:szCs w:val="22"/>
          <w:lang w:val="pl-PL"/>
        </w:rPr>
        <w:t>)</w:t>
      </w:r>
      <w:r w:rsidR="009101FD" w:rsidRPr="003D3F0F">
        <w:rPr>
          <w:rFonts w:ascii="Arial" w:hAnsi="Arial" w:cs="Arial"/>
          <w:color w:val="auto"/>
          <w:sz w:val="22"/>
          <w:szCs w:val="22"/>
          <w:lang w:val="pl-PL"/>
        </w:rPr>
        <w:t xml:space="preserve"> </w:t>
      </w:r>
      <w:r w:rsidR="003D3F0F">
        <w:rPr>
          <w:rFonts w:ascii="Arial" w:hAnsi="Arial" w:cs="Arial"/>
          <w:color w:val="auto"/>
          <w:sz w:val="22"/>
          <w:szCs w:val="22"/>
          <w:lang w:val="pl-PL"/>
        </w:rPr>
        <w:br/>
      </w:r>
      <w:r w:rsidR="003D3F0F">
        <w:rPr>
          <w:rFonts w:ascii="Arial" w:hAnsi="Arial" w:cs="Arial"/>
          <w:color w:val="auto"/>
          <w:sz w:val="22"/>
          <w:szCs w:val="22"/>
          <w:lang w:val="pl-PL"/>
        </w:rPr>
        <w:br/>
      </w:r>
    </w:p>
    <w:p w14:paraId="109EFBA1" w14:textId="1A96E64D" w:rsidR="003E35DD" w:rsidRPr="003D3F0F" w:rsidRDefault="001F6185" w:rsidP="003D3F0F">
      <w:pPr>
        <w:pStyle w:val="Akapitzlist1"/>
        <w:rPr>
          <w:rFonts w:ascii="Arial" w:hAnsi="Arial" w:cs="Arial"/>
          <w:color w:val="auto"/>
          <w:sz w:val="22"/>
          <w:szCs w:val="22"/>
          <w:lang w:val="pl-PL"/>
        </w:rPr>
      </w:pPr>
      <w:r w:rsidRPr="003D3F0F">
        <w:rPr>
          <w:rFonts w:ascii="Arial" w:hAnsi="Arial" w:cs="Arial"/>
          <w:color w:val="auto"/>
          <w:sz w:val="22"/>
          <w:szCs w:val="22"/>
          <w:lang w:val="pl-PL"/>
        </w:rPr>
        <w:lastRenderedPageBreak/>
        <w:t xml:space="preserve">jest </w:t>
      </w:r>
      <w:r w:rsidR="007C7130" w:rsidRPr="003D3F0F">
        <w:rPr>
          <w:rFonts w:ascii="Arial" w:hAnsi="Arial" w:cs="Arial"/>
          <w:color w:val="auto"/>
          <w:sz w:val="22"/>
          <w:szCs w:val="22"/>
          <w:lang w:val="pl-PL"/>
        </w:rPr>
        <w:t>ujęcie w księgach rachunkowych</w:t>
      </w:r>
      <w:r w:rsidR="003E35DD" w:rsidRPr="003D3F0F">
        <w:rPr>
          <w:rFonts w:ascii="Arial" w:hAnsi="Arial" w:cs="Arial"/>
          <w:color w:val="auto"/>
          <w:sz w:val="22"/>
          <w:szCs w:val="22"/>
          <w:lang w:val="pl-PL"/>
        </w:rPr>
        <w:t>:</w:t>
      </w:r>
    </w:p>
    <w:p w14:paraId="4D50E065" w14:textId="31A714C8" w:rsidR="003E35DD" w:rsidRPr="003D3F0F" w:rsidRDefault="007C7130" w:rsidP="005546E6">
      <w:pPr>
        <w:pStyle w:val="Akapitzlist1"/>
        <w:numPr>
          <w:ilvl w:val="0"/>
          <w:numId w:val="2"/>
        </w:numPr>
        <w:tabs>
          <w:tab w:val="left" w:pos="1134"/>
        </w:tabs>
        <w:ind w:left="1134" w:hanging="11"/>
        <w:rPr>
          <w:rFonts w:ascii="Arial" w:hAnsi="Arial" w:cs="Arial"/>
          <w:b/>
          <w:bCs/>
          <w:color w:val="auto"/>
          <w:sz w:val="22"/>
          <w:szCs w:val="22"/>
          <w:lang w:val="pl-PL"/>
        </w:rPr>
      </w:pPr>
      <w:r w:rsidRPr="003D3F0F">
        <w:rPr>
          <w:rFonts w:ascii="Arial" w:hAnsi="Arial" w:cs="Arial"/>
          <w:b/>
          <w:bCs/>
          <w:sz w:val="22"/>
          <w:szCs w:val="22"/>
          <w:lang w:val="pl-PL"/>
        </w:rPr>
        <w:t>wpłat i wypłat gotówką</w:t>
      </w:r>
      <w:r w:rsidR="003E35DD" w:rsidRPr="003D3F0F">
        <w:rPr>
          <w:rFonts w:ascii="Arial" w:hAnsi="Arial" w:cs="Arial"/>
          <w:b/>
          <w:bCs/>
          <w:sz w:val="22"/>
          <w:szCs w:val="22"/>
          <w:lang w:val="pl-PL"/>
        </w:rPr>
        <w:t>,</w:t>
      </w:r>
    </w:p>
    <w:p w14:paraId="378458F5" w14:textId="49914C06" w:rsidR="003E35DD" w:rsidRPr="003D3F0F" w:rsidRDefault="003E35DD" w:rsidP="005546E6">
      <w:pPr>
        <w:pStyle w:val="Akapitzlist1"/>
        <w:numPr>
          <w:ilvl w:val="0"/>
          <w:numId w:val="2"/>
        </w:numPr>
        <w:tabs>
          <w:tab w:val="left" w:pos="1134"/>
        </w:tabs>
        <w:ind w:left="1134" w:hanging="11"/>
        <w:rPr>
          <w:rFonts w:ascii="Arial" w:hAnsi="Arial" w:cs="Arial"/>
          <w:color w:val="auto"/>
          <w:sz w:val="22"/>
          <w:szCs w:val="22"/>
          <w:lang w:val="pl-PL"/>
        </w:rPr>
      </w:pPr>
      <w:r w:rsidRPr="003D3F0F">
        <w:rPr>
          <w:rFonts w:ascii="Arial" w:hAnsi="Arial" w:cs="Arial"/>
          <w:sz w:val="22"/>
          <w:szCs w:val="22"/>
          <w:lang w:val="pl-PL"/>
        </w:rPr>
        <w:t>czekami i wekslami obcymi oraz</w:t>
      </w:r>
    </w:p>
    <w:p w14:paraId="36B1527F" w14:textId="13664D33" w:rsidR="003E35DD" w:rsidRPr="003D3F0F" w:rsidRDefault="003E35DD" w:rsidP="005546E6">
      <w:pPr>
        <w:pStyle w:val="Akapitzlist1"/>
        <w:numPr>
          <w:ilvl w:val="0"/>
          <w:numId w:val="2"/>
        </w:numPr>
        <w:tabs>
          <w:tab w:val="left" w:pos="1134"/>
        </w:tabs>
        <w:ind w:left="1134" w:hanging="11"/>
        <w:rPr>
          <w:rFonts w:ascii="Arial" w:hAnsi="Arial" w:cs="Arial"/>
          <w:color w:val="auto"/>
          <w:sz w:val="22"/>
          <w:szCs w:val="22"/>
          <w:lang w:val="pl-PL"/>
        </w:rPr>
      </w:pPr>
      <w:r w:rsidRPr="003D3F0F">
        <w:rPr>
          <w:rFonts w:ascii="Arial" w:hAnsi="Arial" w:cs="Arial"/>
          <w:color w:val="auto"/>
          <w:sz w:val="22"/>
          <w:szCs w:val="22"/>
          <w:lang w:val="pl-PL"/>
        </w:rPr>
        <w:t>obrotu detalicznego i gastronomii</w:t>
      </w:r>
    </w:p>
    <w:p w14:paraId="3D16E049" w14:textId="77777777" w:rsidR="003E35DD" w:rsidRPr="003D3F0F" w:rsidRDefault="003E35DD" w:rsidP="003D3F0F">
      <w:pPr>
        <w:pStyle w:val="Akapitzlist1"/>
        <w:ind w:left="714" w:hanging="5"/>
        <w:rPr>
          <w:rFonts w:ascii="Arial" w:hAnsi="Arial" w:cs="Arial"/>
          <w:b/>
          <w:bCs/>
          <w:sz w:val="22"/>
          <w:szCs w:val="22"/>
          <w:lang w:val="pl-PL"/>
        </w:rPr>
      </w:pPr>
      <w:r w:rsidRPr="003D3F0F">
        <w:rPr>
          <w:rFonts w:ascii="Arial" w:hAnsi="Arial" w:cs="Arial"/>
          <w:b/>
          <w:bCs/>
          <w:sz w:val="22"/>
          <w:szCs w:val="22"/>
          <w:lang w:val="pl-PL"/>
        </w:rPr>
        <w:t>następuje</w:t>
      </w:r>
      <w:r w:rsidR="007C7130" w:rsidRPr="003D3F0F">
        <w:rPr>
          <w:rFonts w:ascii="Arial" w:hAnsi="Arial" w:cs="Arial"/>
          <w:b/>
          <w:bCs/>
          <w:sz w:val="22"/>
          <w:szCs w:val="22"/>
          <w:lang w:val="pl-PL"/>
        </w:rPr>
        <w:t xml:space="preserve"> w tym samym dniu, w którym zostały dokonane. </w:t>
      </w:r>
    </w:p>
    <w:p w14:paraId="3AD6994F" w14:textId="5399C1B4" w:rsidR="0012765E" w:rsidRPr="003D3F0F" w:rsidRDefault="003E35DD" w:rsidP="005546E6">
      <w:pPr>
        <w:pStyle w:val="Akapitzlist1"/>
        <w:ind w:left="709"/>
        <w:rPr>
          <w:rFonts w:ascii="Arial" w:hAnsi="Arial" w:cs="Arial"/>
          <w:color w:val="auto"/>
          <w:sz w:val="22"/>
          <w:szCs w:val="22"/>
          <w:lang w:val="pl-PL"/>
        </w:rPr>
      </w:pPr>
      <w:r w:rsidRPr="003D3F0F">
        <w:rPr>
          <w:rFonts w:ascii="Arial" w:hAnsi="Arial" w:cs="Arial"/>
          <w:color w:val="auto"/>
          <w:sz w:val="22"/>
          <w:szCs w:val="22"/>
          <w:lang w:val="pl-PL"/>
        </w:rPr>
        <w:t>Zatem podaje się w wątpliwość prawidłowość interpretacji ww. przepisu wskazanego w</w:t>
      </w:r>
      <w:r w:rsidR="000B0B1F" w:rsidRPr="003D3F0F">
        <w:rPr>
          <w:rFonts w:ascii="Arial" w:hAnsi="Arial" w:cs="Arial"/>
          <w:color w:val="auto"/>
          <w:sz w:val="22"/>
          <w:szCs w:val="22"/>
          <w:lang w:val="pl-PL"/>
        </w:rPr>
        <w:t> </w:t>
      </w:r>
      <w:r w:rsidRPr="003D3F0F">
        <w:rPr>
          <w:rFonts w:ascii="Arial" w:hAnsi="Arial" w:cs="Arial"/>
          <w:color w:val="auto"/>
          <w:sz w:val="22"/>
          <w:szCs w:val="22"/>
          <w:lang w:val="pl-PL"/>
        </w:rPr>
        <w:t>wyjaśnieniu przez jednostkę</w:t>
      </w:r>
      <w:r w:rsidR="001F6185" w:rsidRPr="003D3F0F">
        <w:rPr>
          <w:rFonts w:ascii="Arial" w:hAnsi="Arial" w:cs="Arial"/>
          <w:color w:val="auto"/>
          <w:sz w:val="22"/>
          <w:szCs w:val="22"/>
          <w:lang w:val="pl-PL"/>
        </w:rPr>
        <w:t xml:space="preserve"> tj. „(…) w naszym rozumieniu ustawy obrotu detalicznego ani gastronomii nie prowadzimy”.</w:t>
      </w:r>
    </w:p>
    <w:p w14:paraId="27136C5E" w14:textId="4CA8F21A" w:rsidR="006B1125" w:rsidRPr="003D3F0F" w:rsidRDefault="003E35DD" w:rsidP="005546E6">
      <w:pPr>
        <w:spacing w:after="0" w:line="360" w:lineRule="auto"/>
        <w:ind w:left="709"/>
        <w:jc w:val="both"/>
        <w:rPr>
          <w:rFonts w:ascii="Arial" w:hAnsi="Arial" w:cs="Arial"/>
        </w:rPr>
      </w:pPr>
      <w:r w:rsidRPr="003D3F0F">
        <w:rPr>
          <w:rFonts w:ascii="Arial" w:hAnsi="Arial" w:cs="Arial"/>
        </w:rPr>
        <w:t>W ustawie o rachunkowości brak jest regulacji, które wprost wskazywałyby, w jaki sposób jednostki powinny dokumentować operacje kasowe. Przepisy tej ustawy nie określają również sposobu organizacji gospodarki kasowej. Zasady te jednostki powinny zatem określić we własnym zakresie, biorąc jednak pod uwagę ww. przepisy ustawy o rachunkowości</w:t>
      </w:r>
      <w:r w:rsidR="00A25C27" w:rsidRPr="003D3F0F">
        <w:rPr>
          <w:rFonts w:ascii="Arial" w:hAnsi="Arial" w:cs="Arial"/>
        </w:rPr>
        <w:t xml:space="preserve"> i</w:t>
      </w:r>
      <w:r w:rsidR="000B0B1F" w:rsidRPr="003D3F0F">
        <w:rPr>
          <w:rFonts w:ascii="Arial" w:hAnsi="Arial" w:cs="Arial"/>
        </w:rPr>
        <w:t> </w:t>
      </w:r>
      <w:r w:rsidR="00F13E62" w:rsidRPr="003D3F0F">
        <w:rPr>
          <w:rFonts w:ascii="Arial" w:hAnsi="Arial" w:cs="Arial"/>
        </w:rPr>
        <w:t>prawidłowo je stosować.</w:t>
      </w:r>
    </w:p>
    <w:p w14:paraId="0E599901" w14:textId="33FF0C75" w:rsidR="00C47A28" w:rsidRPr="005546E6" w:rsidRDefault="006B1125" w:rsidP="005546E6">
      <w:pPr>
        <w:spacing w:after="0" w:line="360" w:lineRule="auto"/>
        <w:ind w:left="709"/>
        <w:jc w:val="both"/>
        <w:rPr>
          <w:rFonts w:ascii="Arial" w:hAnsi="Arial" w:cs="Arial"/>
          <w:spacing w:val="-2"/>
        </w:rPr>
      </w:pPr>
      <w:r w:rsidRPr="005546E6">
        <w:rPr>
          <w:rFonts w:ascii="Arial" w:hAnsi="Arial" w:cs="Arial"/>
          <w:spacing w:val="-2"/>
        </w:rPr>
        <w:t xml:space="preserve">Nie sposób zgodzić się z wyjaśnieniem </w:t>
      </w:r>
      <w:r w:rsidR="00C47A28" w:rsidRPr="005546E6">
        <w:rPr>
          <w:rFonts w:ascii="Arial" w:hAnsi="Arial" w:cs="Arial"/>
          <w:spacing w:val="-2"/>
        </w:rPr>
        <w:t xml:space="preserve">dotyczącym, braku wskazania sposobu ujęcia dowodu księgowego w księgach rachunkowych (dekretacji), bowiem art. 21 ust 1a </w:t>
      </w:r>
      <w:proofErr w:type="spellStart"/>
      <w:r w:rsidR="00C47A28" w:rsidRPr="005546E6">
        <w:rPr>
          <w:rFonts w:ascii="Arial" w:hAnsi="Arial" w:cs="Arial"/>
          <w:spacing w:val="-2"/>
        </w:rPr>
        <w:t>uor</w:t>
      </w:r>
      <w:proofErr w:type="spellEnd"/>
      <w:r w:rsidR="00C47A28" w:rsidRPr="005546E6">
        <w:rPr>
          <w:rFonts w:ascii="Arial" w:hAnsi="Arial" w:cs="Arial"/>
          <w:spacing w:val="-2"/>
        </w:rPr>
        <w:t xml:space="preserve"> wskazuje, że można zaniechać</w:t>
      </w:r>
      <w:r w:rsidR="00C47A28" w:rsidRPr="005546E6">
        <w:rPr>
          <w:rFonts w:ascii="Arial" w:hAnsi="Arial" w:cs="Arial"/>
          <w:b/>
          <w:bCs/>
          <w:spacing w:val="-2"/>
        </w:rPr>
        <w:t xml:space="preserve"> zamieszczania na dowodzie danych</w:t>
      </w:r>
      <w:r w:rsidR="00C47A28" w:rsidRPr="005546E6">
        <w:rPr>
          <w:rFonts w:ascii="Arial" w:hAnsi="Arial" w:cs="Arial"/>
          <w:spacing w:val="-2"/>
        </w:rPr>
        <w:t>, o których mowa:</w:t>
      </w:r>
    </w:p>
    <w:p w14:paraId="68E039D3" w14:textId="4B365A51" w:rsidR="00C47A28" w:rsidRPr="00C47A28" w:rsidRDefault="00C47A28" w:rsidP="005546E6">
      <w:pPr>
        <w:spacing w:after="0" w:line="360" w:lineRule="auto"/>
        <w:ind w:left="709" w:firstLine="425"/>
        <w:jc w:val="both"/>
        <w:rPr>
          <w:rFonts w:ascii="Arial" w:hAnsi="Arial" w:cs="Arial"/>
        </w:rPr>
      </w:pPr>
      <w:r w:rsidRPr="00C47A28">
        <w:rPr>
          <w:rFonts w:ascii="Arial" w:hAnsi="Arial" w:cs="Arial"/>
        </w:rPr>
        <w:t>1)</w:t>
      </w:r>
      <w:r w:rsidR="005546E6">
        <w:rPr>
          <w:rFonts w:ascii="Arial" w:hAnsi="Arial" w:cs="Arial"/>
        </w:rPr>
        <w:t xml:space="preserve"> </w:t>
      </w:r>
      <w:r w:rsidRPr="00C47A28">
        <w:rPr>
          <w:rFonts w:ascii="Arial" w:hAnsi="Arial" w:cs="Arial"/>
        </w:rPr>
        <w:t xml:space="preserve"> w ust. 1 pkt 1-3 i 5, jeżeli wynika to z odrębnych przepisów;</w:t>
      </w:r>
    </w:p>
    <w:p w14:paraId="149DF9F9" w14:textId="7F33BE66" w:rsidR="00C47A28" w:rsidRDefault="00C47A28" w:rsidP="005546E6">
      <w:pPr>
        <w:spacing w:after="0" w:line="360" w:lineRule="auto"/>
        <w:ind w:left="709" w:firstLine="425"/>
        <w:jc w:val="both"/>
        <w:rPr>
          <w:rFonts w:ascii="Arial" w:hAnsi="Arial" w:cs="Arial"/>
        </w:rPr>
      </w:pPr>
      <w:r w:rsidRPr="00C47A28">
        <w:rPr>
          <w:rFonts w:ascii="Arial" w:hAnsi="Arial" w:cs="Arial"/>
        </w:rPr>
        <w:t>2)</w:t>
      </w:r>
      <w:r w:rsidR="005546E6">
        <w:rPr>
          <w:rFonts w:ascii="Arial" w:hAnsi="Arial" w:cs="Arial"/>
        </w:rPr>
        <w:t xml:space="preserve"> </w:t>
      </w:r>
      <w:r w:rsidRPr="00C47A28">
        <w:rPr>
          <w:rFonts w:ascii="Arial" w:hAnsi="Arial" w:cs="Arial"/>
        </w:rPr>
        <w:t xml:space="preserve"> w ust. 1 pkt 6, jeżeli wynika to z techniki dokumentowania zapisów księgowych</w:t>
      </w:r>
      <w:r>
        <w:rPr>
          <w:rFonts w:ascii="Arial" w:hAnsi="Arial" w:cs="Arial"/>
        </w:rPr>
        <w:t xml:space="preserve">. </w:t>
      </w:r>
    </w:p>
    <w:p w14:paraId="29AF2714" w14:textId="59230F84" w:rsidR="00D24DED" w:rsidRPr="005546E6" w:rsidRDefault="00C47A28" w:rsidP="005546E6">
      <w:pPr>
        <w:spacing w:after="0" w:line="360" w:lineRule="auto"/>
        <w:ind w:left="709"/>
        <w:jc w:val="both"/>
        <w:rPr>
          <w:rFonts w:ascii="Arial" w:hAnsi="Arial" w:cs="Arial"/>
          <w:color w:val="000000" w:themeColor="text1"/>
          <w:spacing w:val="2"/>
        </w:rPr>
      </w:pPr>
      <w:r w:rsidRPr="005546E6">
        <w:rPr>
          <w:rFonts w:ascii="Arial" w:hAnsi="Arial" w:cs="Arial"/>
          <w:spacing w:val="2"/>
        </w:rPr>
        <w:t xml:space="preserve">Powyższy przepis nie oznacza, </w:t>
      </w:r>
      <w:r w:rsidRPr="005546E6">
        <w:rPr>
          <w:rFonts w:ascii="Arial" w:hAnsi="Arial" w:cs="Arial"/>
          <w:b/>
          <w:bCs/>
          <w:spacing w:val="2"/>
        </w:rPr>
        <w:t xml:space="preserve">że można zaniechać </w:t>
      </w:r>
      <w:r w:rsidRPr="005546E6">
        <w:rPr>
          <w:rFonts w:ascii="Arial" w:hAnsi="Arial" w:cs="Arial"/>
          <w:b/>
          <w:bCs/>
          <w:spacing w:val="2"/>
          <w:u w:val="single"/>
        </w:rPr>
        <w:t>zamieszczania na dowodzie</w:t>
      </w:r>
      <w:r w:rsidRPr="005546E6">
        <w:rPr>
          <w:rFonts w:ascii="Arial" w:hAnsi="Arial" w:cs="Arial"/>
          <w:b/>
          <w:bCs/>
          <w:spacing w:val="2"/>
        </w:rPr>
        <w:t xml:space="preserve">, </w:t>
      </w:r>
      <w:r w:rsidRPr="005546E6">
        <w:rPr>
          <w:rFonts w:ascii="Arial" w:hAnsi="Arial" w:cs="Arial"/>
          <w:spacing w:val="2"/>
        </w:rPr>
        <w:t xml:space="preserve">wskazanego w art. 21 ust. 1 pkt 6 </w:t>
      </w:r>
      <w:proofErr w:type="spellStart"/>
      <w:r w:rsidRPr="005546E6">
        <w:rPr>
          <w:rFonts w:ascii="Arial" w:hAnsi="Arial" w:cs="Arial"/>
          <w:spacing w:val="2"/>
        </w:rPr>
        <w:t>uor</w:t>
      </w:r>
      <w:proofErr w:type="spellEnd"/>
      <w:r w:rsidRPr="005546E6">
        <w:rPr>
          <w:rFonts w:ascii="Arial" w:hAnsi="Arial" w:cs="Arial"/>
          <w:spacing w:val="2"/>
        </w:rPr>
        <w:t xml:space="preserve">, stwierdzenia sprawdzenia i zakwalifikowania dowodu do ujęcia w księgach rachunkowych przez wskazanie miesiąca oraz sposobu ujęcia dowodu w księgach rachunkowych, podpis osoby odpowiedzialnej za te wskazania, </w:t>
      </w:r>
      <w:r w:rsidR="00B55FB9" w:rsidRPr="005546E6">
        <w:rPr>
          <w:rFonts w:ascii="Arial" w:hAnsi="Arial" w:cs="Arial"/>
          <w:spacing w:val="2"/>
        </w:rPr>
        <w:t xml:space="preserve">stanowiącego jeden z </w:t>
      </w:r>
      <w:r w:rsidRPr="005546E6">
        <w:rPr>
          <w:rFonts w:ascii="Arial" w:hAnsi="Arial" w:cs="Arial"/>
          <w:spacing w:val="2"/>
        </w:rPr>
        <w:t>wymog</w:t>
      </w:r>
      <w:r w:rsidR="00B55FB9" w:rsidRPr="005546E6">
        <w:rPr>
          <w:rFonts w:ascii="Arial" w:hAnsi="Arial" w:cs="Arial"/>
          <w:spacing w:val="2"/>
        </w:rPr>
        <w:t>ów</w:t>
      </w:r>
      <w:r w:rsidRPr="005546E6">
        <w:rPr>
          <w:rFonts w:ascii="Arial" w:hAnsi="Arial" w:cs="Arial"/>
          <w:spacing w:val="2"/>
        </w:rPr>
        <w:t xml:space="preserve"> formaln</w:t>
      </w:r>
      <w:r w:rsidR="00B55FB9" w:rsidRPr="005546E6">
        <w:rPr>
          <w:rFonts w:ascii="Arial" w:hAnsi="Arial" w:cs="Arial"/>
          <w:spacing w:val="2"/>
        </w:rPr>
        <w:t>ych</w:t>
      </w:r>
      <w:r w:rsidRPr="005546E6">
        <w:rPr>
          <w:rFonts w:ascii="Arial" w:hAnsi="Arial" w:cs="Arial"/>
          <w:spacing w:val="2"/>
        </w:rPr>
        <w:t xml:space="preserve"> dowod</w:t>
      </w:r>
      <w:r w:rsidR="00B55FB9" w:rsidRPr="005546E6">
        <w:rPr>
          <w:rFonts w:ascii="Arial" w:hAnsi="Arial" w:cs="Arial"/>
          <w:spacing w:val="2"/>
        </w:rPr>
        <w:t>u</w:t>
      </w:r>
      <w:r w:rsidRPr="005546E6">
        <w:rPr>
          <w:rFonts w:ascii="Arial" w:hAnsi="Arial" w:cs="Arial"/>
          <w:spacing w:val="2"/>
        </w:rPr>
        <w:t xml:space="preserve"> księgow</w:t>
      </w:r>
      <w:r w:rsidR="00B55FB9" w:rsidRPr="005546E6">
        <w:rPr>
          <w:rFonts w:ascii="Arial" w:hAnsi="Arial" w:cs="Arial"/>
          <w:spacing w:val="2"/>
        </w:rPr>
        <w:t xml:space="preserve">ego. Przepis art. 21 ust. 1a </w:t>
      </w:r>
      <w:proofErr w:type="spellStart"/>
      <w:r w:rsidR="00B55FB9" w:rsidRPr="005546E6">
        <w:rPr>
          <w:rFonts w:ascii="Arial" w:hAnsi="Arial" w:cs="Arial"/>
          <w:spacing w:val="2"/>
        </w:rPr>
        <w:t>uor</w:t>
      </w:r>
      <w:proofErr w:type="spellEnd"/>
      <w:r w:rsidR="00B55FB9" w:rsidRPr="005546E6">
        <w:rPr>
          <w:rFonts w:ascii="Arial" w:hAnsi="Arial" w:cs="Arial"/>
          <w:spacing w:val="2"/>
        </w:rPr>
        <w:t xml:space="preserve"> wskazuje zatem, że dekretacja dokumentów księgowych </w:t>
      </w:r>
      <w:r w:rsidR="00B55FB9" w:rsidRPr="005546E6">
        <w:rPr>
          <w:rFonts w:ascii="Arial" w:hAnsi="Arial" w:cs="Arial"/>
          <w:b/>
          <w:bCs/>
          <w:spacing w:val="2"/>
        </w:rPr>
        <w:t>nie jest obowiązkowa wprost na dowodzie księgowym („ręczny” dekret),</w:t>
      </w:r>
      <w:r w:rsidR="005546E6">
        <w:rPr>
          <w:rFonts w:ascii="Arial" w:hAnsi="Arial" w:cs="Arial"/>
          <w:b/>
          <w:bCs/>
          <w:spacing w:val="2"/>
        </w:rPr>
        <w:br/>
      </w:r>
      <w:r w:rsidR="00B55FB9" w:rsidRPr="005546E6">
        <w:rPr>
          <w:rFonts w:ascii="Arial" w:hAnsi="Arial" w:cs="Arial"/>
          <w:b/>
          <w:bCs/>
          <w:spacing w:val="2"/>
        </w:rPr>
        <w:t xml:space="preserve"> jeżeli wynika to z techniki dokumentowania zapisów księgowych.</w:t>
      </w:r>
      <w:r w:rsidR="00B55FB9" w:rsidRPr="005546E6">
        <w:rPr>
          <w:rFonts w:ascii="Arial" w:hAnsi="Arial" w:cs="Arial"/>
          <w:spacing w:val="2"/>
        </w:rPr>
        <w:t xml:space="preserve"> System</w:t>
      </w:r>
      <w:r w:rsidR="005546E6">
        <w:rPr>
          <w:rFonts w:ascii="Arial" w:hAnsi="Arial" w:cs="Arial"/>
          <w:spacing w:val="2"/>
        </w:rPr>
        <w:t> </w:t>
      </w:r>
      <w:r w:rsidR="00B55FB9" w:rsidRPr="005546E6">
        <w:rPr>
          <w:rFonts w:ascii="Arial" w:hAnsi="Arial" w:cs="Arial"/>
          <w:spacing w:val="2"/>
        </w:rPr>
        <w:t xml:space="preserve">komputerowy powinien wówczas generować wydruk zawierający wszystkie niezbędne elementy, w tym powiązanie z zapisami w dzienniku (numer pozycji), co umożliwia program komputerowy używany w </w:t>
      </w:r>
      <w:proofErr w:type="spellStart"/>
      <w:r w:rsidR="00B55FB9" w:rsidRPr="005546E6">
        <w:rPr>
          <w:rFonts w:ascii="Arial" w:hAnsi="Arial" w:cs="Arial"/>
          <w:spacing w:val="2"/>
        </w:rPr>
        <w:t>MZUiM</w:t>
      </w:r>
      <w:proofErr w:type="spellEnd"/>
      <w:r w:rsidR="00B55FB9" w:rsidRPr="005546E6">
        <w:rPr>
          <w:rFonts w:ascii="Arial" w:hAnsi="Arial" w:cs="Arial"/>
          <w:spacing w:val="2"/>
        </w:rPr>
        <w:t xml:space="preserve"> (dekretacja automatyczna). </w:t>
      </w:r>
      <w:r w:rsidR="00B55FB9" w:rsidRPr="005546E6">
        <w:rPr>
          <w:rFonts w:ascii="Arial" w:hAnsi="Arial" w:cs="Arial"/>
          <w:color w:val="000000" w:themeColor="text1"/>
          <w:spacing w:val="2"/>
        </w:rPr>
        <w:t>Zatem w</w:t>
      </w:r>
      <w:r w:rsidR="00D24DED" w:rsidRPr="005546E6">
        <w:rPr>
          <w:rFonts w:ascii="Arial" w:hAnsi="Arial" w:cs="Arial"/>
          <w:color w:val="000000" w:themeColor="text1"/>
          <w:spacing w:val="2"/>
        </w:rPr>
        <w:t> </w:t>
      </w:r>
      <w:r w:rsidR="00B55FB9" w:rsidRPr="005546E6">
        <w:rPr>
          <w:rFonts w:ascii="Arial" w:hAnsi="Arial" w:cs="Arial"/>
          <w:color w:val="000000" w:themeColor="text1"/>
          <w:spacing w:val="2"/>
        </w:rPr>
        <w:t>powyższym przypadku, konieczne jest jedynie trwałe dołączenie wydruku dekretu do dokumentu stanowiącego dowód źródłowy. Nadmienić należy, że w</w:t>
      </w:r>
      <w:r w:rsidR="005546E6">
        <w:rPr>
          <w:rFonts w:ascii="Arial" w:hAnsi="Arial" w:cs="Arial"/>
          <w:color w:val="000000" w:themeColor="text1"/>
          <w:spacing w:val="2"/>
        </w:rPr>
        <w:t> </w:t>
      </w:r>
      <w:r w:rsidR="00B55FB9" w:rsidRPr="005546E6">
        <w:rPr>
          <w:rFonts w:ascii="Arial" w:hAnsi="Arial" w:cs="Arial"/>
          <w:color w:val="000000" w:themeColor="text1"/>
          <w:spacing w:val="2"/>
        </w:rPr>
        <w:t>protokole brak wskazania sposobu ujęcia w księgach rachunkowych (dekretacji) dotyczył ponadto wyciągów bankowych z dochodów budżetowych</w:t>
      </w:r>
      <w:r w:rsidR="00ED5126" w:rsidRPr="005546E6">
        <w:rPr>
          <w:rFonts w:ascii="Arial" w:hAnsi="Arial" w:cs="Arial"/>
          <w:color w:val="000000" w:themeColor="text1"/>
          <w:spacing w:val="2"/>
        </w:rPr>
        <w:t xml:space="preserve"> i w tym zakresie jednostka uznała zarzut za prawidłowy.</w:t>
      </w:r>
    </w:p>
    <w:p w14:paraId="5D4A69C2" w14:textId="77777777" w:rsidR="005546E6" w:rsidRDefault="005546E6" w:rsidP="005546E6">
      <w:pPr>
        <w:spacing w:after="0" w:line="360" w:lineRule="auto"/>
        <w:ind w:left="709"/>
        <w:jc w:val="both"/>
        <w:rPr>
          <w:rFonts w:ascii="Arial" w:hAnsi="Arial" w:cs="Arial"/>
          <w:color w:val="000000" w:themeColor="text1"/>
        </w:rPr>
      </w:pPr>
    </w:p>
    <w:p w14:paraId="3CFEAC0A" w14:textId="77777777" w:rsidR="005546E6" w:rsidRDefault="005546E6" w:rsidP="005546E6">
      <w:pPr>
        <w:spacing w:after="0" w:line="360" w:lineRule="auto"/>
        <w:ind w:left="709"/>
        <w:jc w:val="both"/>
        <w:rPr>
          <w:rFonts w:ascii="Arial" w:hAnsi="Arial" w:cs="Arial"/>
          <w:color w:val="000000" w:themeColor="text1"/>
        </w:rPr>
      </w:pPr>
    </w:p>
    <w:p w14:paraId="4DFACEF0" w14:textId="77777777" w:rsidR="005546E6" w:rsidRDefault="005546E6" w:rsidP="005546E6">
      <w:pPr>
        <w:spacing w:after="0" w:line="360" w:lineRule="auto"/>
        <w:ind w:left="709"/>
        <w:jc w:val="both"/>
        <w:rPr>
          <w:rFonts w:ascii="Arial" w:hAnsi="Arial" w:cs="Arial"/>
          <w:color w:val="000000" w:themeColor="text1"/>
        </w:rPr>
      </w:pPr>
    </w:p>
    <w:p w14:paraId="3FF4D8F9" w14:textId="4B5A4040" w:rsidR="00100E46" w:rsidRPr="005546E6" w:rsidRDefault="00913350" w:rsidP="005546E6">
      <w:pPr>
        <w:pStyle w:val="Akapitzlist"/>
        <w:numPr>
          <w:ilvl w:val="0"/>
          <w:numId w:val="6"/>
        </w:numPr>
        <w:ind w:hanging="720"/>
        <w:rPr>
          <w:rFonts w:ascii="Arial" w:hAnsi="Arial" w:cs="Arial"/>
          <w:color w:val="000000" w:themeColor="text1"/>
          <w:sz w:val="22"/>
          <w:szCs w:val="22"/>
          <w:lang w:val="pl-PL"/>
        </w:rPr>
      </w:pPr>
      <w:r w:rsidRPr="005546E6">
        <w:rPr>
          <w:rFonts w:ascii="Arial" w:hAnsi="Arial" w:cs="Arial"/>
          <w:color w:val="000000" w:themeColor="text1"/>
          <w:sz w:val="22"/>
          <w:szCs w:val="22"/>
          <w:lang w:val="pl-PL"/>
        </w:rPr>
        <w:lastRenderedPageBreak/>
        <w:t>Odnośnie wyjaśnienia dotyczącego wprowadzenia w 2018 r.</w:t>
      </w:r>
      <w:r w:rsidR="008E19E4" w:rsidRPr="005546E6">
        <w:rPr>
          <w:rFonts w:ascii="Arial" w:hAnsi="Arial" w:cs="Arial"/>
          <w:color w:val="000000" w:themeColor="text1"/>
          <w:sz w:val="22"/>
          <w:szCs w:val="22"/>
          <w:lang w:val="pl-PL"/>
        </w:rPr>
        <w:t>,</w:t>
      </w:r>
      <w:r w:rsidRPr="005546E6">
        <w:rPr>
          <w:rFonts w:ascii="Arial" w:hAnsi="Arial" w:cs="Arial"/>
          <w:color w:val="000000" w:themeColor="text1"/>
          <w:sz w:val="22"/>
          <w:szCs w:val="22"/>
          <w:lang w:val="pl-PL"/>
        </w:rPr>
        <w:t xml:space="preserve"> z wartością 1 zł</w:t>
      </w:r>
      <w:r w:rsidR="008E19E4" w:rsidRPr="005546E6">
        <w:rPr>
          <w:rFonts w:ascii="Arial" w:hAnsi="Arial" w:cs="Arial"/>
          <w:color w:val="000000" w:themeColor="text1"/>
          <w:sz w:val="22"/>
          <w:szCs w:val="22"/>
          <w:lang w:val="pl-PL"/>
        </w:rPr>
        <w:t>,</w:t>
      </w:r>
      <w:r w:rsidRPr="005546E6">
        <w:rPr>
          <w:rFonts w:ascii="Arial" w:hAnsi="Arial" w:cs="Arial"/>
          <w:color w:val="000000" w:themeColor="text1"/>
          <w:sz w:val="22"/>
          <w:szCs w:val="22"/>
          <w:lang w:val="pl-PL"/>
        </w:rPr>
        <w:t xml:space="preserve"> środków trwałych ujawnionych w wyniku przeprowadzonej inwentaryzacji, zauważyć należy, że w</w:t>
      </w:r>
      <w:r w:rsidR="00D24DED" w:rsidRPr="005546E6">
        <w:rPr>
          <w:rFonts w:ascii="Arial" w:hAnsi="Arial" w:cs="Arial"/>
          <w:color w:val="000000" w:themeColor="text1"/>
          <w:sz w:val="22"/>
          <w:szCs w:val="22"/>
          <w:lang w:val="pl-PL"/>
        </w:rPr>
        <w:t> </w:t>
      </w:r>
      <w:r w:rsidRPr="005546E6">
        <w:rPr>
          <w:rFonts w:ascii="Arial" w:hAnsi="Arial" w:cs="Arial"/>
          <w:color w:val="000000" w:themeColor="text1"/>
          <w:sz w:val="22"/>
          <w:szCs w:val="22"/>
          <w:lang w:val="pl-PL"/>
        </w:rPr>
        <w:t>protokole kontroli</w:t>
      </w:r>
      <w:r w:rsidR="00E30E33" w:rsidRPr="005546E6">
        <w:rPr>
          <w:rFonts w:ascii="Arial" w:hAnsi="Arial" w:cs="Arial"/>
          <w:color w:val="000000" w:themeColor="text1"/>
          <w:sz w:val="22"/>
          <w:szCs w:val="22"/>
          <w:lang w:val="pl-PL"/>
        </w:rPr>
        <w:t xml:space="preserve"> wskazano</w:t>
      </w:r>
      <w:r w:rsidRPr="005546E6">
        <w:rPr>
          <w:rFonts w:ascii="Arial" w:hAnsi="Arial" w:cs="Arial"/>
          <w:color w:val="000000" w:themeColor="text1"/>
          <w:sz w:val="22"/>
          <w:szCs w:val="22"/>
          <w:lang w:val="pl-PL"/>
        </w:rPr>
        <w:t xml:space="preserve">, że </w:t>
      </w:r>
      <w:r w:rsidRPr="005546E6">
        <w:rPr>
          <w:rFonts w:ascii="Arial" w:hAnsi="Arial" w:cs="Arial"/>
          <w:i/>
          <w:iCs/>
          <w:color w:val="000000" w:themeColor="text1"/>
          <w:sz w:val="22"/>
          <w:szCs w:val="22"/>
          <w:lang w:val="pl-PL"/>
        </w:rPr>
        <w:t>p</w:t>
      </w:r>
      <w:r w:rsidRPr="005546E6">
        <w:rPr>
          <w:rFonts w:ascii="Arial" w:hAnsi="Arial" w:cs="Arial"/>
          <w:i/>
          <w:iCs/>
          <w:color w:val="000000" w:themeColor="text1"/>
          <w:spacing w:val="-2"/>
          <w:sz w:val="22"/>
          <w:szCs w:val="22"/>
          <w:lang w:val="pl-PL"/>
        </w:rPr>
        <w:t xml:space="preserve">rawidłowym sposobem na wprowadzenie ujawnionych </w:t>
      </w:r>
      <w:r w:rsidRPr="005546E6">
        <w:rPr>
          <w:rFonts w:ascii="Arial" w:hAnsi="Arial" w:cs="Arial"/>
          <w:i/>
          <w:iCs/>
          <w:spacing w:val="-2"/>
          <w:sz w:val="22"/>
          <w:szCs w:val="22"/>
          <w:lang w:val="pl-PL"/>
        </w:rPr>
        <w:t>środków trwałych do ewidencji będzie odnalezienie dokumentów, na podstawie których otrzymano te środki trwałe i wprowadzenie ich wartości zgodnie z</w:t>
      </w:r>
      <w:r w:rsidR="005546E6" w:rsidRPr="005546E6">
        <w:rPr>
          <w:rFonts w:ascii="Arial" w:hAnsi="Arial" w:cs="Arial"/>
          <w:i/>
          <w:iCs/>
          <w:spacing w:val="-2"/>
          <w:sz w:val="22"/>
          <w:szCs w:val="22"/>
          <w:lang w:val="pl-PL"/>
        </w:rPr>
        <w:t> </w:t>
      </w:r>
      <w:r w:rsidRPr="005546E6">
        <w:rPr>
          <w:rFonts w:ascii="Arial" w:hAnsi="Arial" w:cs="Arial"/>
          <w:i/>
          <w:iCs/>
          <w:spacing w:val="-2"/>
          <w:sz w:val="22"/>
          <w:szCs w:val="22"/>
          <w:lang w:val="pl-PL"/>
        </w:rPr>
        <w:t xml:space="preserve">przytoczonymi </w:t>
      </w:r>
      <w:r w:rsidR="00100E46" w:rsidRPr="005546E6">
        <w:rPr>
          <w:rFonts w:ascii="Arial" w:hAnsi="Arial" w:cs="Arial"/>
          <w:i/>
          <w:iCs/>
          <w:spacing w:val="-2"/>
          <w:sz w:val="22"/>
          <w:szCs w:val="22"/>
          <w:lang w:val="pl-PL"/>
        </w:rPr>
        <w:t xml:space="preserve">w protokole </w:t>
      </w:r>
      <w:r w:rsidRPr="005546E6">
        <w:rPr>
          <w:rFonts w:ascii="Arial" w:hAnsi="Arial" w:cs="Arial"/>
          <w:i/>
          <w:iCs/>
          <w:spacing w:val="-2"/>
          <w:sz w:val="22"/>
          <w:szCs w:val="22"/>
          <w:lang w:val="pl-PL"/>
        </w:rPr>
        <w:t xml:space="preserve">przepisami lub w razie nieposiadania wskazanych dokumentów dokonanie wyceny środków trwałych. W przypadku gdy jednostka nie może ustalić ceny nabycia środka trwałego jego wyceny dokonuje się według ceny sprzedaży takiego samego lub podobnego przedmiotu (art. 28 ust. 2 </w:t>
      </w:r>
      <w:proofErr w:type="spellStart"/>
      <w:r w:rsidRPr="005546E6">
        <w:rPr>
          <w:rFonts w:ascii="Arial" w:hAnsi="Arial" w:cs="Arial"/>
          <w:i/>
          <w:iCs/>
          <w:spacing w:val="-2"/>
          <w:sz w:val="22"/>
          <w:szCs w:val="22"/>
          <w:lang w:val="pl-PL"/>
        </w:rPr>
        <w:t>uor</w:t>
      </w:r>
      <w:proofErr w:type="spellEnd"/>
      <w:r w:rsidRPr="005546E6">
        <w:rPr>
          <w:rFonts w:ascii="Arial" w:hAnsi="Arial" w:cs="Arial"/>
          <w:i/>
          <w:iCs/>
          <w:spacing w:val="-2"/>
          <w:sz w:val="22"/>
          <w:szCs w:val="22"/>
          <w:lang w:val="pl-PL"/>
        </w:rPr>
        <w:t xml:space="preserve">). Jeżeli natomiast nie jest możliwe ustalenie ceny sprzedaży netto danego składnika aktywów, należy w inny sposób określić jego wartość godziwą (art. 28 ust. 6 </w:t>
      </w:r>
      <w:proofErr w:type="spellStart"/>
      <w:r w:rsidRPr="005546E6">
        <w:rPr>
          <w:rFonts w:ascii="Arial" w:hAnsi="Arial" w:cs="Arial"/>
          <w:i/>
          <w:iCs/>
          <w:spacing w:val="-2"/>
          <w:sz w:val="22"/>
          <w:szCs w:val="22"/>
          <w:lang w:val="pl-PL"/>
        </w:rPr>
        <w:t>uor</w:t>
      </w:r>
      <w:proofErr w:type="spellEnd"/>
      <w:r w:rsidRPr="005546E6">
        <w:rPr>
          <w:rFonts w:ascii="Arial" w:hAnsi="Arial" w:cs="Arial"/>
          <w:i/>
          <w:iCs/>
          <w:spacing w:val="-2"/>
          <w:sz w:val="22"/>
          <w:szCs w:val="22"/>
          <w:lang w:val="pl-PL"/>
        </w:rPr>
        <w:t>).</w:t>
      </w:r>
      <w:r w:rsidR="00100E46" w:rsidRPr="005546E6">
        <w:rPr>
          <w:rFonts w:ascii="Arial" w:hAnsi="Arial" w:cs="Arial"/>
          <w:spacing w:val="-2"/>
          <w:sz w:val="22"/>
          <w:szCs w:val="22"/>
          <w:lang w:val="pl-PL"/>
        </w:rPr>
        <w:t xml:space="preserve"> </w:t>
      </w:r>
      <w:r w:rsidR="00BA5A50" w:rsidRPr="005546E6">
        <w:rPr>
          <w:rFonts w:ascii="Arial" w:hAnsi="Arial" w:cs="Arial"/>
          <w:color w:val="auto"/>
          <w:spacing w:val="-2"/>
          <w:sz w:val="22"/>
          <w:szCs w:val="22"/>
          <w:lang w:val="pl-PL"/>
        </w:rPr>
        <w:t xml:space="preserve">Zdumiewający </w:t>
      </w:r>
      <w:r w:rsidR="00BA5A50" w:rsidRPr="005546E6">
        <w:rPr>
          <w:rFonts w:ascii="Arial" w:hAnsi="Arial" w:cs="Arial"/>
          <w:spacing w:val="-2"/>
          <w:sz w:val="22"/>
          <w:szCs w:val="22"/>
          <w:lang w:val="pl-PL"/>
        </w:rPr>
        <w:t>jest zatem wniosek kontrolowanej jednostki</w:t>
      </w:r>
      <w:r w:rsidR="00F72274" w:rsidRPr="005546E6">
        <w:rPr>
          <w:rFonts w:ascii="Arial" w:hAnsi="Arial" w:cs="Arial"/>
          <w:spacing w:val="-2"/>
          <w:sz w:val="22"/>
          <w:szCs w:val="22"/>
          <w:lang w:val="pl-PL"/>
        </w:rPr>
        <w:t>,</w:t>
      </w:r>
      <w:r w:rsidR="00BA5A50" w:rsidRPr="005546E6">
        <w:rPr>
          <w:rFonts w:ascii="Arial" w:hAnsi="Arial" w:cs="Arial"/>
          <w:spacing w:val="-2"/>
          <w:sz w:val="22"/>
          <w:szCs w:val="22"/>
          <w:lang w:val="pl-PL"/>
        </w:rPr>
        <w:t xml:space="preserve"> wskazany w wyjaśnieniach</w:t>
      </w:r>
      <w:r w:rsidR="00F72274" w:rsidRPr="005546E6">
        <w:rPr>
          <w:rFonts w:ascii="Arial" w:hAnsi="Arial" w:cs="Arial"/>
          <w:spacing w:val="-2"/>
          <w:sz w:val="22"/>
          <w:szCs w:val="22"/>
          <w:lang w:val="pl-PL"/>
        </w:rPr>
        <w:t>,</w:t>
      </w:r>
      <w:r w:rsidR="00BA5A50" w:rsidRPr="005546E6">
        <w:rPr>
          <w:rFonts w:ascii="Arial" w:hAnsi="Arial" w:cs="Arial"/>
          <w:spacing w:val="-2"/>
          <w:sz w:val="22"/>
          <w:szCs w:val="22"/>
          <w:lang w:val="pl-PL"/>
        </w:rPr>
        <w:t xml:space="preserve"> o przywołaniu argumentu kontrolujących: „że właściwym podmiotem do wyceny majątku</w:t>
      </w:r>
      <w:r w:rsidR="00F72274" w:rsidRPr="005546E6">
        <w:rPr>
          <w:rFonts w:ascii="Arial" w:hAnsi="Arial" w:cs="Arial"/>
          <w:spacing w:val="-2"/>
          <w:sz w:val="22"/>
          <w:szCs w:val="22"/>
          <w:lang w:val="pl-PL"/>
        </w:rPr>
        <w:t xml:space="preserve"> (dróg) </w:t>
      </w:r>
      <w:r w:rsidR="00BA5A50" w:rsidRPr="005546E6">
        <w:rPr>
          <w:rFonts w:ascii="Arial" w:hAnsi="Arial" w:cs="Arial"/>
          <w:spacing w:val="-2"/>
          <w:sz w:val="22"/>
          <w:szCs w:val="22"/>
          <w:lang w:val="pl-PL"/>
        </w:rPr>
        <w:t xml:space="preserve">jest uprawniony do tego rzeczoznawca majątkowy”, bowiem taki nie znalazł się w treści protokołu. </w:t>
      </w:r>
    </w:p>
    <w:p w14:paraId="1D54B30E" w14:textId="5B1AB80F" w:rsidR="00100E46" w:rsidRPr="005546E6" w:rsidRDefault="006A19C2" w:rsidP="005546E6">
      <w:pPr>
        <w:spacing w:after="0" w:line="360" w:lineRule="auto"/>
        <w:ind w:left="709"/>
        <w:jc w:val="both"/>
        <w:rPr>
          <w:rFonts w:ascii="Arial" w:hAnsi="Arial" w:cs="Arial"/>
        </w:rPr>
      </w:pPr>
      <w:r w:rsidRPr="005546E6">
        <w:rPr>
          <w:rFonts w:ascii="Arial" w:hAnsi="Arial" w:cs="Arial"/>
        </w:rPr>
        <w:t xml:space="preserve">W wyjaśnieniach wskazano, że za </w:t>
      </w:r>
      <w:r w:rsidR="0020378B" w:rsidRPr="005546E6">
        <w:rPr>
          <w:rFonts w:ascii="Arial" w:hAnsi="Arial" w:cs="Arial"/>
        </w:rPr>
        <w:t>przyjętym przez jednostkę</w:t>
      </w:r>
      <w:r w:rsidRPr="005546E6">
        <w:rPr>
          <w:rFonts w:ascii="Arial" w:hAnsi="Arial" w:cs="Arial"/>
        </w:rPr>
        <w:t xml:space="preserve"> </w:t>
      </w:r>
      <w:r w:rsidR="0020378B" w:rsidRPr="005546E6">
        <w:rPr>
          <w:rFonts w:ascii="Arial" w:hAnsi="Arial" w:cs="Arial"/>
        </w:rPr>
        <w:t>rozwiązaniem stał argument</w:t>
      </w:r>
      <w:r w:rsidRPr="005546E6">
        <w:rPr>
          <w:rFonts w:ascii="Arial" w:hAnsi="Arial" w:cs="Arial"/>
        </w:rPr>
        <w:t xml:space="preserve">, że „drogi te uległy w całości amortyzacji (okres ich amortyzacji minął). Wartość bilansowa 0 zł.” </w:t>
      </w:r>
      <w:r w:rsidR="00E30E33" w:rsidRPr="005546E6">
        <w:rPr>
          <w:rFonts w:ascii="Arial" w:hAnsi="Arial" w:cs="Arial"/>
        </w:rPr>
        <w:t>Zauważyć należy, że</w:t>
      </w:r>
      <w:r w:rsidR="00927878" w:rsidRPr="005546E6">
        <w:rPr>
          <w:rFonts w:ascii="Arial" w:hAnsi="Arial" w:cs="Arial"/>
        </w:rPr>
        <w:t xml:space="preserve"> </w:t>
      </w:r>
      <w:r w:rsidRPr="005546E6">
        <w:rPr>
          <w:rFonts w:ascii="Arial" w:hAnsi="Arial" w:cs="Arial"/>
        </w:rPr>
        <w:t>s</w:t>
      </w:r>
      <w:r w:rsidR="00100E46" w:rsidRPr="005546E6">
        <w:rPr>
          <w:rFonts w:ascii="Arial" w:hAnsi="Arial" w:cs="Arial"/>
        </w:rPr>
        <w:t>koro drogi nie były w ewidencji to także nie były amortyzowane, okres amortyzacji liczymy od miesiąca następującego po miesiącu ujawnienia</w:t>
      </w:r>
      <w:r w:rsidR="0020378B" w:rsidRPr="005546E6">
        <w:rPr>
          <w:rFonts w:ascii="Arial" w:hAnsi="Arial" w:cs="Arial"/>
        </w:rPr>
        <w:t xml:space="preserve"> (dla celów podatkowych)</w:t>
      </w:r>
      <w:r w:rsidR="00100E46" w:rsidRPr="005546E6">
        <w:rPr>
          <w:rFonts w:ascii="Arial" w:hAnsi="Arial" w:cs="Arial"/>
        </w:rPr>
        <w:t>, także nie ma znaczenie fakt, że gdyby drogi były prawidłowo wprowadzone do rejestru okres amortyzacji by już minął.</w:t>
      </w:r>
      <w:r w:rsidR="008E19E4" w:rsidRPr="005546E6">
        <w:rPr>
          <w:rFonts w:ascii="Arial" w:hAnsi="Arial" w:cs="Arial"/>
        </w:rPr>
        <w:t xml:space="preserve"> </w:t>
      </w:r>
      <w:r w:rsidR="00100E46" w:rsidRPr="005546E6">
        <w:rPr>
          <w:rFonts w:ascii="Arial" w:hAnsi="Arial" w:cs="Arial"/>
        </w:rPr>
        <w:t xml:space="preserve">Wartość po okresie amortyzacji wynosiłaby 0 zł, </w:t>
      </w:r>
      <w:r w:rsidR="008E19E4" w:rsidRPr="005546E6">
        <w:rPr>
          <w:rFonts w:ascii="Arial" w:hAnsi="Arial" w:cs="Arial"/>
        </w:rPr>
        <w:t>jednak</w:t>
      </w:r>
      <w:r w:rsidR="00100E46" w:rsidRPr="005546E6">
        <w:rPr>
          <w:rFonts w:ascii="Arial" w:hAnsi="Arial" w:cs="Arial"/>
        </w:rPr>
        <w:t xml:space="preserve"> z powodu ujawnienia dopiero </w:t>
      </w:r>
      <w:r w:rsidR="0020378B" w:rsidRPr="005546E6">
        <w:rPr>
          <w:rFonts w:ascii="Arial" w:hAnsi="Arial" w:cs="Arial"/>
        </w:rPr>
        <w:t xml:space="preserve">w 2018 r. </w:t>
      </w:r>
      <w:r w:rsidR="00100E46" w:rsidRPr="005546E6">
        <w:rPr>
          <w:rFonts w:ascii="Arial" w:hAnsi="Arial" w:cs="Arial"/>
        </w:rPr>
        <w:t> realnie w księgach</w:t>
      </w:r>
      <w:r w:rsidRPr="005546E6">
        <w:rPr>
          <w:rFonts w:ascii="Arial" w:hAnsi="Arial" w:cs="Arial"/>
        </w:rPr>
        <w:t xml:space="preserve"> ich wartość</w:t>
      </w:r>
      <w:r w:rsidR="00100E46" w:rsidRPr="005546E6">
        <w:rPr>
          <w:rFonts w:ascii="Arial" w:hAnsi="Arial" w:cs="Arial"/>
        </w:rPr>
        <w:t xml:space="preserve"> nie wynosi</w:t>
      </w:r>
      <w:r w:rsidR="0020378B" w:rsidRPr="005546E6">
        <w:rPr>
          <w:rFonts w:ascii="Arial" w:hAnsi="Arial" w:cs="Arial"/>
        </w:rPr>
        <w:t>ła</w:t>
      </w:r>
      <w:r w:rsidR="00100E46" w:rsidRPr="005546E6">
        <w:rPr>
          <w:rFonts w:ascii="Arial" w:hAnsi="Arial" w:cs="Arial"/>
        </w:rPr>
        <w:t xml:space="preserve"> 0 zł. Zawsze odnosimy się do stanu faktycznego.</w:t>
      </w:r>
    </w:p>
    <w:p w14:paraId="05751A88" w14:textId="73BE5AF0" w:rsidR="00913350" w:rsidRDefault="00F72274" w:rsidP="005546E6">
      <w:pPr>
        <w:spacing w:after="0" w:line="360" w:lineRule="auto"/>
        <w:ind w:left="709"/>
        <w:jc w:val="both"/>
        <w:rPr>
          <w:rFonts w:ascii="Arial" w:hAnsi="Arial" w:cs="Arial"/>
        </w:rPr>
      </w:pPr>
      <w:r w:rsidRPr="005546E6">
        <w:rPr>
          <w:rFonts w:ascii="Arial" w:hAnsi="Arial" w:cs="Arial"/>
        </w:rPr>
        <w:t xml:space="preserve">Ponadto w zapisach </w:t>
      </w:r>
      <w:r w:rsidR="00BA5A50" w:rsidRPr="005546E6">
        <w:rPr>
          <w:rFonts w:ascii="Arial" w:hAnsi="Arial" w:cs="Arial"/>
        </w:rPr>
        <w:t>K</w:t>
      </w:r>
      <w:r w:rsidRPr="005546E6">
        <w:rPr>
          <w:rFonts w:ascii="Arial" w:hAnsi="Arial" w:cs="Arial"/>
        </w:rPr>
        <w:t xml:space="preserve">rajowego </w:t>
      </w:r>
      <w:r w:rsidR="00BA5A50" w:rsidRPr="005546E6">
        <w:rPr>
          <w:rFonts w:ascii="Arial" w:hAnsi="Arial" w:cs="Arial"/>
        </w:rPr>
        <w:t>S</w:t>
      </w:r>
      <w:r w:rsidRPr="005546E6">
        <w:rPr>
          <w:rFonts w:ascii="Arial" w:hAnsi="Arial" w:cs="Arial"/>
        </w:rPr>
        <w:t xml:space="preserve">tandardu </w:t>
      </w:r>
      <w:r w:rsidR="00BA5A50" w:rsidRPr="005546E6">
        <w:rPr>
          <w:rFonts w:ascii="Arial" w:hAnsi="Arial" w:cs="Arial"/>
        </w:rPr>
        <w:t>R</w:t>
      </w:r>
      <w:r w:rsidRPr="005546E6">
        <w:rPr>
          <w:rFonts w:ascii="Arial" w:hAnsi="Arial" w:cs="Arial"/>
        </w:rPr>
        <w:t>achunkowości</w:t>
      </w:r>
      <w:r w:rsidR="00BA5A50" w:rsidRPr="005546E6">
        <w:rPr>
          <w:rFonts w:ascii="Arial" w:hAnsi="Arial" w:cs="Arial"/>
        </w:rPr>
        <w:t xml:space="preserve"> nr 11 </w:t>
      </w:r>
      <w:r w:rsidRPr="005546E6">
        <w:rPr>
          <w:rFonts w:ascii="Arial" w:hAnsi="Arial" w:cs="Arial"/>
        </w:rPr>
        <w:t xml:space="preserve">w pkt </w:t>
      </w:r>
      <w:r w:rsidR="00BB349B" w:rsidRPr="005546E6">
        <w:rPr>
          <w:rFonts w:ascii="Arial" w:hAnsi="Arial" w:cs="Arial"/>
        </w:rPr>
        <w:t xml:space="preserve">6.28. </w:t>
      </w:r>
      <w:r w:rsidRPr="005546E6">
        <w:rPr>
          <w:rFonts w:ascii="Arial" w:hAnsi="Arial" w:cs="Arial"/>
        </w:rPr>
        <w:t>wskazano, że s</w:t>
      </w:r>
      <w:r w:rsidR="00BB349B" w:rsidRPr="005546E6">
        <w:rPr>
          <w:rFonts w:ascii="Arial" w:hAnsi="Arial" w:cs="Arial"/>
        </w:rPr>
        <w:t>zczególnym</w:t>
      </w:r>
      <w:r w:rsidR="00BB349B" w:rsidRPr="0052093D">
        <w:rPr>
          <w:rFonts w:ascii="Arial" w:hAnsi="Arial" w:cs="Arial"/>
        </w:rPr>
        <w:t xml:space="preserve"> przypadkiem pozyskania środka trwałego jest jego ujawnienie (stwierdzenie nadwyżki). Ujawnienie nieobjętego ewidencją księgową środka trwałego wymaga ustalenia przyczyny powstania nadwyżki. Warunkuje ona możliwość uznania oraz sposób wyceny i</w:t>
      </w:r>
      <w:r w:rsidR="00D24DED">
        <w:rPr>
          <w:rFonts w:ascii="Arial" w:hAnsi="Arial" w:cs="Arial"/>
        </w:rPr>
        <w:t> </w:t>
      </w:r>
      <w:r w:rsidR="00BB349B" w:rsidRPr="0052093D">
        <w:rPr>
          <w:rFonts w:ascii="Arial" w:hAnsi="Arial" w:cs="Arial"/>
        </w:rPr>
        <w:t>ujęcia ujawnionego środka trwałego</w:t>
      </w:r>
      <w:r w:rsidRPr="0052093D">
        <w:rPr>
          <w:rFonts w:ascii="Arial" w:hAnsi="Arial" w:cs="Arial"/>
        </w:rPr>
        <w:t xml:space="preserve"> oraz w </w:t>
      </w:r>
      <w:r w:rsidR="00BA5A50" w:rsidRPr="0052093D">
        <w:rPr>
          <w:rFonts w:ascii="Arial" w:hAnsi="Arial" w:cs="Arial"/>
        </w:rPr>
        <w:t xml:space="preserve">pkt 6.31. </w:t>
      </w:r>
      <w:r w:rsidR="00622BD8">
        <w:rPr>
          <w:rFonts w:ascii="Arial" w:hAnsi="Arial" w:cs="Arial"/>
        </w:rPr>
        <w:t>wskazano, że j</w:t>
      </w:r>
      <w:r w:rsidR="00BA5A50" w:rsidRPr="0052093D">
        <w:rPr>
          <w:rFonts w:ascii="Arial" w:hAnsi="Arial" w:cs="Arial"/>
        </w:rPr>
        <w:t>eśli jednostka nie jest w</w:t>
      </w:r>
      <w:r w:rsidR="00D24DED">
        <w:rPr>
          <w:rFonts w:ascii="Arial" w:hAnsi="Arial" w:cs="Arial"/>
        </w:rPr>
        <w:t> </w:t>
      </w:r>
      <w:r w:rsidR="00BA5A50" w:rsidRPr="0052093D">
        <w:rPr>
          <w:rFonts w:ascii="Arial" w:hAnsi="Arial" w:cs="Arial"/>
        </w:rPr>
        <w:t>stanie określić przyczyny powstania nadwyżki środka trwałego, wówczas wartość początkową ujawnionego i ujmowanego w księgach środka trwałego ustala w wysokości ceny sprzedaży (rynkowej) takiego samego lub podobnego przedmiotu. Drugostronnie wartość ta jest ujmowana jako rozliczenie międzyokresowe przychodów. Jest ona rozliczana w</w:t>
      </w:r>
      <w:r w:rsidR="008B6E14">
        <w:rPr>
          <w:rFonts w:ascii="Arial" w:hAnsi="Arial" w:cs="Arial"/>
        </w:rPr>
        <w:t> </w:t>
      </w:r>
      <w:r w:rsidR="00BA5A50" w:rsidRPr="0052093D">
        <w:rPr>
          <w:rFonts w:ascii="Arial" w:hAnsi="Arial" w:cs="Arial"/>
        </w:rPr>
        <w:t>korespondencji z pozostałymi przychodami operacyjnymi równolegle do odpisów amortyzacyjnych dokonywanych od tego środka trwałego</w:t>
      </w:r>
      <w:r w:rsidR="00401519" w:rsidRPr="0052093D">
        <w:rPr>
          <w:rFonts w:ascii="Arial" w:hAnsi="Arial" w:cs="Arial"/>
        </w:rPr>
        <w:t xml:space="preserve"> (zapis 840/760). Zatem zwraca się uwagę na nieprawidłowość przytoczon</w:t>
      </w:r>
      <w:r w:rsidR="00BB349B" w:rsidRPr="0052093D">
        <w:rPr>
          <w:rFonts w:ascii="Arial" w:hAnsi="Arial" w:cs="Arial"/>
        </w:rPr>
        <w:t>ego</w:t>
      </w:r>
      <w:r w:rsidR="00401519" w:rsidRPr="0052093D">
        <w:rPr>
          <w:rFonts w:ascii="Arial" w:hAnsi="Arial" w:cs="Arial"/>
        </w:rPr>
        <w:t xml:space="preserve"> w wyjaśnieniach zapisu księgowego, tj. 760</w:t>
      </w:r>
      <w:r w:rsidR="00BB349B" w:rsidRPr="0052093D">
        <w:rPr>
          <w:rFonts w:ascii="Arial" w:hAnsi="Arial" w:cs="Arial"/>
        </w:rPr>
        <w:t>/840</w:t>
      </w:r>
      <w:r w:rsidR="00401519" w:rsidRPr="0052093D">
        <w:rPr>
          <w:rFonts w:ascii="Arial" w:hAnsi="Arial" w:cs="Arial"/>
        </w:rPr>
        <w:t>.</w:t>
      </w:r>
    </w:p>
    <w:p w14:paraId="52F12754" w14:textId="77777777" w:rsidR="005546E6" w:rsidRDefault="005546E6" w:rsidP="005546E6">
      <w:pPr>
        <w:spacing w:after="0" w:line="360" w:lineRule="auto"/>
        <w:jc w:val="both"/>
        <w:rPr>
          <w:rFonts w:ascii="Arial" w:hAnsi="Arial" w:cs="Arial"/>
          <w:color w:val="FF0000"/>
        </w:rPr>
      </w:pPr>
    </w:p>
    <w:p w14:paraId="11F4316D" w14:textId="208E648E" w:rsidR="00CA16EB" w:rsidRPr="005546E6" w:rsidRDefault="0027577A" w:rsidP="005546E6">
      <w:pPr>
        <w:pStyle w:val="Akapitzlist"/>
        <w:numPr>
          <w:ilvl w:val="0"/>
          <w:numId w:val="7"/>
        </w:numPr>
        <w:ind w:left="709" w:hanging="709"/>
        <w:rPr>
          <w:rFonts w:ascii="Arial" w:hAnsi="Arial" w:cs="Arial"/>
          <w:sz w:val="22"/>
          <w:szCs w:val="22"/>
          <w:lang w:val="pl-PL"/>
        </w:rPr>
      </w:pPr>
      <w:r w:rsidRPr="008B6E14">
        <w:rPr>
          <w:rFonts w:ascii="Arial" w:hAnsi="Arial" w:cs="Arial"/>
          <w:sz w:val="22"/>
          <w:szCs w:val="22"/>
          <w:lang w:val="pl-PL"/>
        </w:rPr>
        <w:lastRenderedPageBreak/>
        <w:t>Odnośnie złożonych wyjaśnień do pkt. 4.1.9</w:t>
      </w:r>
      <w:r w:rsidR="001734DC" w:rsidRPr="008B6E14">
        <w:rPr>
          <w:rFonts w:ascii="Arial" w:hAnsi="Arial" w:cs="Arial"/>
          <w:sz w:val="22"/>
          <w:szCs w:val="22"/>
          <w:lang w:val="pl-PL"/>
        </w:rPr>
        <w:t xml:space="preserve">, że „ druki KP (od nr 1 do 26) pobrane 7.01.2021 r. oraz druki KW (od nr 1 do 40) pobrane 04.01.2021 r. zostały wykorzystane w </w:t>
      </w:r>
      <w:r w:rsidR="008B6E14" w:rsidRPr="008B6E14">
        <w:rPr>
          <w:rFonts w:ascii="Arial" w:hAnsi="Arial" w:cs="Arial"/>
          <w:sz w:val="22"/>
          <w:szCs w:val="22"/>
          <w:lang w:val="pl-PL"/>
        </w:rPr>
        <w:t> </w:t>
      </w:r>
      <w:r w:rsidR="001734DC" w:rsidRPr="008B6E14">
        <w:rPr>
          <w:rFonts w:ascii="Arial" w:hAnsi="Arial" w:cs="Arial"/>
          <w:sz w:val="22"/>
          <w:szCs w:val="22"/>
          <w:lang w:val="pl-PL"/>
        </w:rPr>
        <w:t>raportach kasowych”</w:t>
      </w:r>
      <w:r w:rsidR="00CA16EB" w:rsidRPr="008B6E14">
        <w:rPr>
          <w:rFonts w:ascii="Arial" w:hAnsi="Arial" w:cs="Arial"/>
          <w:sz w:val="22"/>
          <w:szCs w:val="22"/>
          <w:lang w:val="pl-PL"/>
        </w:rPr>
        <w:t xml:space="preserve"> oraz „(…) w księdze nie odnotowano zdania wydanych do zużycia druków w latach wcześniejszych, tj.</w:t>
      </w:r>
      <w:r w:rsidR="00CA16EB" w:rsidRPr="00494032">
        <w:rPr>
          <w:rFonts w:ascii="Arial" w:hAnsi="Arial" w:cs="Arial"/>
          <w:sz w:val="22"/>
          <w:szCs w:val="22"/>
        </w:rPr>
        <w:t xml:space="preserve"> w </w:t>
      </w:r>
      <w:r w:rsidR="00CA16EB" w:rsidRPr="00494032">
        <w:rPr>
          <w:rFonts w:ascii="Arial" w:hAnsi="Arial" w:cs="Arial"/>
          <w:sz w:val="22"/>
          <w:szCs w:val="22"/>
          <w:lang w:bidi="ps-AF"/>
        </w:rPr>
        <w:t xml:space="preserve">2010 r. i 2015 r. </w:t>
      </w:r>
      <w:r w:rsidR="00CA16EB" w:rsidRPr="008B6E14">
        <w:rPr>
          <w:rFonts w:ascii="Arial" w:hAnsi="Arial" w:cs="Arial"/>
          <w:sz w:val="22"/>
          <w:szCs w:val="22"/>
          <w:lang w:val="pl-PL" w:bidi="ps-AF"/>
        </w:rPr>
        <w:t>z uwagi na ich wykorzystanie” (dot. czeków)</w:t>
      </w:r>
      <w:r w:rsidR="001734DC" w:rsidRPr="008B6E14">
        <w:rPr>
          <w:rFonts w:ascii="Arial" w:hAnsi="Arial" w:cs="Arial"/>
          <w:sz w:val="22"/>
          <w:szCs w:val="22"/>
          <w:lang w:val="pl-PL" w:bidi="ps-AF"/>
        </w:rPr>
        <w:t xml:space="preserve"> zwraca się uwagę, że w</w:t>
      </w:r>
      <w:r w:rsidRPr="008B6E14">
        <w:rPr>
          <w:rFonts w:ascii="Arial" w:hAnsi="Arial" w:cs="Arial"/>
          <w:sz w:val="22"/>
          <w:szCs w:val="22"/>
          <w:lang w:val="pl-PL" w:bidi="ps-AF"/>
        </w:rPr>
        <w:t xml:space="preserve"> </w:t>
      </w:r>
      <w:r w:rsidR="001734DC" w:rsidRPr="008B6E14">
        <w:rPr>
          <w:rFonts w:ascii="Arial" w:hAnsi="Arial" w:cs="Arial"/>
          <w:sz w:val="22"/>
          <w:szCs w:val="22"/>
          <w:lang w:val="pl-PL" w:bidi="ps-AF"/>
        </w:rPr>
        <w:t>instrukcji druków ścisłego zarachowania nie uregulowano w</w:t>
      </w:r>
      <w:r w:rsidR="008B6E14" w:rsidRPr="008B6E14">
        <w:rPr>
          <w:rFonts w:ascii="Arial" w:hAnsi="Arial" w:cs="Arial"/>
          <w:sz w:val="22"/>
          <w:szCs w:val="22"/>
          <w:lang w:val="pl-PL" w:bidi="ps-AF"/>
        </w:rPr>
        <w:t> </w:t>
      </w:r>
      <w:r w:rsidR="001734DC" w:rsidRPr="008B6E14">
        <w:rPr>
          <w:rFonts w:ascii="Arial" w:hAnsi="Arial" w:cs="Arial"/>
          <w:sz w:val="22"/>
          <w:szCs w:val="22"/>
          <w:lang w:val="pl-PL" w:bidi="ps-AF"/>
        </w:rPr>
        <w:t>jaki sposób pracownik, który pobiera druki, powinien postąpić w momencie ich zużycia. Z</w:t>
      </w:r>
      <w:r w:rsidR="008B6E14" w:rsidRPr="008B6E14">
        <w:rPr>
          <w:rFonts w:ascii="Arial" w:hAnsi="Arial" w:cs="Arial"/>
          <w:sz w:val="22"/>
          <w:szCs w:val="22"/>
          <w:lang w:val="pl-PL" w:bidi="ps-AF"/>
        </w:rPr>
        <w:t> </w:t>
      </w:r>
      <w:r w:rsidR="00667D5C" w:rsidRPr="008B6E14">
        <w:rPr>
          <w:rFonts w:ascii="Arial" w:hAnsi="Arial" w:cs="Arial"/>
          <w:sz w:val="22"/>
          <w:szCs w:val="22"/>
          <w:lang w:val="pl-PL" w:bidi="ps-AF"/>
        </w:rPr>
        <w:t>przyjętej powszechni</w:t>
      </w:r>
      <w:r w:rsidR="00CA16EB" w:rsidRPr="008B6E14">
        <w:rPr>
          <w:rFonts w:ascii="Arial" w:hAnsi="Arial" w:cs="Arial"/>
          <w:sz w:val="22"/>
          <w:szCs w:val="22"/>
          <w:lang w:val="pl-PL" w:bidi="ps-AF"/>
        </w:rPr>
        <w:t>e</w:t>
      </w:r>
      <w:r w:rsidR="001734DC" w:rsidRPr="008B6E14">
        <w:rPr>
          <w:rFonts w:ascii="Arial" w:hAnsi="Arial" w:cs="Arial"/>
          <w:sz w:val="22"/>
          <w:szCs w:val="22"/>
          <w:lang w:val="pl-PL" w:bidi="ps-AF"/>
        </w:rPr>
        <w:t xml:space="preserve"> praktyki  wynika, że pracownik ten winien zostać zobowiązany do zwrotu kopii wykorzystanych druków, a</w:t>
      </w:r>
      <w:r w:rsidR="005546E6">
        <w:rPr>
          <w:rFonts w:ascii="Arial" w:hAnsi="Arial" w:cs="Arial"/>
          <w:sz w:val="22"/>
          <w:szCs w:val="22"/>
          <w:lang w:val="pl-PL" w:bidi="ps-AF"/>
        </w:rPr>
        <w:t> </w:t>
      </w:r>
      <w:r w:rsidR="001734DC" w:rsidRPr="008B6E14">
        <w:rPr>
          <w:rFonts w:ascii="Arial" w:hAnsi="Arial" w:cs="Arial"/>
          <w:sz w:val="22"/>
          <w:szCs w:val="22"/>
          <w:lang w:val="pl-PL" w:bidi="ps-AF"/>
        </w:rPr>
        <w:t xml:space="preserve">pracownik odpowiedzialny za gospodarkę drukami winien ten fakt odnotować </w:t>
      </w:r>
      <w:r w:rsidR="001734DC" w:rsidRPr="005546E6">
        <w:rPr>
          <w:rFonts w:ascii="Arial" w:hAnsi="Arial" w:cs="Arial"/>
          <w:sz w:val="22"/>
          <w:szCs w:val="22"/>
          <w:lang w:val="pl-PL" w:bidi="ps-AF"/>
        </w:rPr>
        <w:t>w</w:t>
      </w:r>
      <w:r w:rsidR="005546E6" w:rsidRPr="005546E6">
        <w:rPr>
          <w:rFonts w:ascii="Arial" w:hAnsi="Arial" w:cs="Arial"/>
          <w:sz w:val="22"/>
          <w:szCs w:val="22"/>
          <w:lang w:val="pl-PL" w:bidi="ps-AF"/>
        </w:rPr>
        <w:t> </w:t>
      </w:r>
      <w:r w:rsidR="001734DC" w:rsidRPr="005546E6">
        <w:rPr>
          <w:rFonts w:ascii="Arial" w:hAnsi="Arial" w:cs="Arial"/>
          <w:sz w:val="22"/>
          <w:szCs w:val="22"/>
          <w:lang w:val="pl-PL" w:bidi="ps-AF"/>
        </w:rPr>
        <w:t>ewidencji, wskazując datę zwrotu</w:t>
      </w:r>
      <w:r w:rsidR="001734DC" w:rsidRPr="005546E6">
        <w:rPr>
          <w:rFonts w:ascii="Arial" w:hAnsi="Arial" w:cs="Arial"/>
          <w:sz w:val="22"/>
          <w:szCs w:val="22"/>
          <w:lang w:val="pl-PL"/>
        </w:rPr>
        <w:t xml:space="preserve"> wykorzystanych druków. </w:t>
      </w:r>
      <w:r w:rsidR="00B63729" w:rsidRPr="005546E6">
        <w:rPr>
          <w:rFonts w:ascii="Arial" w:hAnsi="Arial" w:cs="Arial"/>
          <w:sz w:val="22"/>
          <w:szCs w:val="22"/>
          <w:lang w:val="pl-PL"/>
        </w:rPr>
        <w:t>Bowiem brak zdania</w:t>
      </w:r>
      <w:r w:rsidR="00DA52C3" w:rsidRPr="005546E6">
        <w:rPr>
          <w:rFonts w:ascii="Arial" w:hAnsi="Arial" w:cs="Arial"/>
          <w:sz w:val="22"/>
          <w:szCs w:val="22"/>
          <w:lang w:val="pl-PL"/>
        </w:rPr>
        <w:t xml:space="preserve"> kopii</w:t>
      </w:r>
      <w:r w:rsidR="00B63729" w:rsidRPr="005546E6">
        <w:rPr>
          <w:rFonts w:ascii="Arial" w:hAnsi="Arial" w:cs="Arial"/>
          <w:sz w:val="22"/>
          <w:szCs w:val="22"/>
          <w:lang w:val="pl-PL"/>
        </w:rPr>
        <w:t xml:space="preserve"> druków oznacza, że nadal są w użyciu. </w:t>
      </w:r>
      <w:r w:rsidR="001734DC" w:rsidRPr="005546E6">
        <w:rPr>
          <w:rFonts w:ascii="Arial" w:hAnsi="Arial" w:cs="Arial"/>
          <w:sz w:val="22"/>
          <w:szCs w:val="22"/>
          <w:lang w:val="pl-PL"/>
        </w:rPr>
        <w:t>W związku z brakiem w</w:t>
      </w:r>
      <w:r w:rsidR="008B6E14" w:rsidRPr="005546E6">
        <w:rPr>
          <w:rFonts w:ascii="Arial" w:hAnsi="Arial" w:cs="Arial"/>
          <w:sz w:val="22"/>
          <w:szCs w:val="22"/>
          <w:lang w:val="pl-PL"/>
        </w:rPr>
        <w:t> </w:t>
      </w:r>
      <w:r w:rsidR="001734DC" w:rsidRPr="005546E6">
        <w:rPr>
          <w:rFonts w:ascii="Arial" w:hAnsi="Arial" w:cs="Arial"/>
          <w:sz w:val="22"/>
          <w:szCs w:val="22"/>
          <w:lang w:val="pl-PL"/>
        </w:rPr>
        <w:t>jednostce Instrukcji inwentaryzacyjnej i nie</w:t>
      </w:r>
      <w:r w:rsidR="008B6E14" w:rsidRPr="005546E6">
        <w:rPr>
          <w:rFonts w:ascii="Arial" w:hAnsi="Arial" w:cs="Arial"/>
          <w:sz w:val="22"/>
          <w:szCs w:val="22"/>
          <w:lang w:val="pl-PL"/>
        </w:rPr>
        <w:t xml:space="preserve"> </w:t>
      </w:r>
      <w:r w:rsidR="001734DC" w:rsidRPr="005546E6">
        <w:rPr>
          <w:rFonts w:ascii="Arial" w:hAnsi="Arial" w:cs="Arial"/>
          <w:sz w:val="22"/>
          <w:szCs w:val="22"/>
          <w:lang w:val="pl-PL"/>
        </w:rPr>
        <w:t xml:space="preserve">uregulowaniem sposobu przeprowadzania inwentaryzacji druków ścisłego zarachowania, wskazuje się, że </w:t>
      </w:r>
      <w:r w:rsidR="00B63729" w:rsidRPr="005546E6">
        <w:rPr>
          <w:rFonts w:ascii="Arial" w:hAnsi="Arial" w:cs="Arial"/>
          <w:sz w:val="22"/>
          <w:szCs w:val="22"/>
          <w:lang w:val="pl-PL"/>
        </w:rPr>
        <w:t>komisja inwentaryzacyjna jest zobowiązana do ustalenia stanu faktycznego druków ścisłego zarachowania znajdujących się w składowaniu</w:t>
      </w:r>
      <w:r w:rsidR="004866AA" w:rsidRPr="005546E6">
        <w:rPr>
          <w:rFonts w:ascii="Arial" w:hAnsi="Arial" w:cs="Arial"/>
          <w:sz w:val="22"/>
          <w:szCs w:val="22"/>
          <w:lang w:val="pl-PL"/>
        </w:rPr>
        <w:t>,</w:t>
      </w:r>
      <w:r w:rsidR="00B63729" w:rsidRPr="005546E6">
        <w:rPr>
          <w:rFonts w:ascii="Arial" w:hAnsi="Arial" w:cs="Arial"/>
          <w:sz w:val="22"/>
          <w:szCs w:val="22"/>
          <w:lang w:val="pl-PL"/>
        </w:rPr>
        <w:t xml:space="preserve"> </w:t>
      </w:r>
      <w:r w:rsidR="00667D5C" w:rsidRPr="005546E6">
        <w:rPr>
          <w:rFonts w:ascii="Arial" w:hAnsi="Arial" w:cs="Arial"/>
          <w:sz w:val="22"/>
          <w:szCs w:val="22"/>
          <w:lang w:val="pl-PL"/>
        </w:rPr>
        <w:t>które powinny zostać</w:t>
      </w:r>
      <w:r w:rsidR="00B63729" w:rsidRPr="005546E6">
        <w:rPr>
          <w:rFonts w:ascii="Arial" w:hAnsi="Arial" w:cs="Arial"/>
          <w:sz w:val="22"/>
          <w:szCs w:val="22"/>
          <w:lang w:val="pl-PL"/>
        </w:rPr>
        <w:t xml:space="preserve"> rozliczone na koniec roku kalendarzowego u osoby</w:t>
      </w:r>
      <w:r w:rsidR="008B6E14" w:rsidRPr="005546E6">
        <w:rPr>
          <w:rFonts w:ascii="Arial" w:hAnsi="Arial" w:cs="Arial"/>
          <w:sz w:val="22"/>
          <w:szCs w:val="22"/>
          <w:lang w:val="pl-PL"/>
        </w:rPr>
        <w:t xml:space="preserve"> </w:t>
      </w:r>
      <w:r w:rsidR="00B63729" w:rsidRPr="005546E6">
        <w:rPr>
          <w:rFonts w:ascii="Arial" w:hAnsi="Arial" w:cs="Arial"/>
          <w:sz w:val="22"/>
          <w:szCs w:val="22"/>
          <w:lang w:val="pl-PL"/>
        </w:rPr>
        <w:t>prowadzącej ewidencję druków ścisłego zarachowania.</w:t>
      </w:r>
      <w:r w:rsidR="004866AA" w:rsidRPr="005546E6">
        <w:rPr>
          <w:rFonts w:ascii="Arial" w:hAnsi="Arial" w:cs="Arial"/>
          <w:sz w:val="22"/>
          <w:szCs w:val="22"/>
          <w:lang w:val="pl-PL"/>
        </w:rPr>
        <w:t xml:space="preserve"> </w:t>
      </w:r>
      <w:r w:rsidR="00DA52C3" w:rsidRPr="005546E6">
        <w:rPr>
          <w:rFonts w:ascii="Arial" w:hAnsi="Arial" w:cs="Arial"/>
          <w:sz w:val="22"/>
          <w:szCs w:val="22"/>
          <w:lang w:val="pl-PL"/>
        </w:rPr>
        <w:t>Jak</w:t>
      </w:r>
      <w:r w:rsidR="005546E6" w:rsidRPr="005546E6">
        <w:rPr>
          <w:rFonts w:ascii="Arial" w:hAnsi="Arial" w:cs="Arial"/>
          <w:sz w:val="22"/>
          <w:szCs w:val="22"/>
          <w:lang w:val="pl-PL"/>
        </w:rPr>
        <w:t> </w:t>
      </w:r>
      <w:r w:rsidR="00DA52C3" w:rsidRPr="005546E6">
        <w:rPr>
          <w:rFonts w:ascii="Arial" w:hAnsi="Arial" w:cs="Arial"/>
          <w:sz w:val="22"/>
          <w:szCs w:val="22"/>
          <w:lang w:val="pl-PL"/>
        </w:rPr>
        <w:t>przytoczono w protokole w</w:t>
      </w:r>
      <w:r w:rsidR="008B6E14" w:rsidRPr="005546E6">
        <w:rPr>
          <w:rFonts w:ascii="Arial" w:hAnsi="Arial" w:cs="Arial"/>
          <w:sz w:val="22"/>
          <w:szCs w:val="22"/>
          <w:lang w:val="pl-PL"/>
        </w:rPr>
        <w:t> </w:t>
      </w:r>
      <w:r w:rsidR="00DA52C3" w:rsidRPr="005546E6">
        <w:rPr>
          <w:rFonts w:ascii="Arial" w:hAnsi="Arial" w:cs="Arial"/>
          <w:sz w:val="22"/>
          <w:szCs w:val="22"/>
          <w:lang w:val="pl-PL"/>
        </w:rPr>
        <w:t xml:space="preserve">zakresie ww. druków stwierdzono ich </w:t>
      </w:r>
      <w:r w:rsidR="008B6E14" w:rsidRPr="005546E6">
        <w:rPr>
          <w:rFonts w:ascii="Arial" w:hAnsi="Arial" w:cs="Arial"/>
          <w:sz w:val="22"/>
          <w:szCs w:val="22"/>
          <w:lang w:val="pl-PL"/>
        </w:rPr>
        <w:t>nie</w:t>
      </w:r>
      <w:r w:rsidR="00DA52C3" w:rsidRPr="005546E6">
        <w:rPr>
          <w:rFonts w:ascii="Arial" w:hAnsi="Arial" w:cs="Arial"/>
          <w:sz w:val="22"/>
          <w:szCs w:val="22"/>
          <w:lang w:val="pl-PL"/>
        </w:rPr>
        <w:t>zinwentaryzowani</w:t>
      </w:r>
      <w:r w:rsidR="008B6E14" w:rsidRPr="005546E6">
        <w:rPr>
          <w:rFonts w:ascii="Arial" w:hAnsi="Arial" w:cs="Arial"/>
          <w:sz w:val="22"/>
          <w:szCs w:val="22"/>
          <w:lang w:val="pl-PL"/>
        </w:rPr>
        <w:t>e</w:t>
      </w:r>
      <w:r w:rsidR="00DA52C3" w:rsidRPr="005546E6">
        <w:rPr>
          <w:rFonts w:ascii="Arial" w:hAnsi="Arial" w:cs="Arial"/>
          <w:sz w:val="22"/>
          <w:szCs w:val="22"/>
          <w:lang w:val="pl-PL"/>
        </w:rPr>
        <w:t xml:space="preserve"> oraz </w:t>
      </w:r>
      <w:r w:rsidR="00EF50A0" w:rsidRPr="005546E6">
        <w:rPr>
          <w:rFonts w:ascii="Arial" w:hAnsi="Arial" w:cs="Arial"/>
          <w:sz w:val="22"/>
          <w:szCs w:val="22"/>
          <w:lang w:val="pl-PL"/>
        </w:rPr>
        <w:t>brak</w:t>
      </w:r>
      <w:r w:rsidR="00DA52C3" w:rsidRPr="005546E6">
        <w:rPr>
          <w:rFonts w:ascii="Arial" w:hAnsi="Arial" w:cs="Arial"/>
          <w:sz w:val="22"/>
          <w:szCs w:val="22"/>
          <w:lang w:val="pl-PL"/>
        </w:rPr>
        <w:t xml:space="preserve"> odniesienia się do zgodności spisanych druków z</w:t>
      </w:r>
      <w:r w:rsidR="005546E6" w:rsidRPr="005546E6">
        <w:rPr>
          <w:rFonts w:ascii="Arial" w:hAnsi="Arial" w:cs="Arial"/>
          <w:sz w:val="22"/>
          <w:szCs w:val="22"/>
          <w:lang w:val="pl-PL"/>
        </w:rPr>
        <w:t> </w:t>
      </w:r>
      <w:r w:rsidR="00DA52C3" w:rsidRPr="005546E6">
        <w:rPr>
          <w:rFonts w:ascii="Arial" w:hAnsi="Arial" w:cs="Arial"/>
          <w:sz w:val="22"/>
          <w:szCs w:val="22"/>
          <w:lang w:val="pl-PL"/>
        </w:rPr>
        <w:t>ewidencją prowadzoną w tym zakresie.</w:t>
      </w:r>
    </w:p>
    <w:p w14:paraId="5F5EE414" w14:textId="1E99CCF9" w:rsidR="0027577A" w:rsidRDefault="004866AA" w:rsidP="005546E6">
      <w:pPr>
        <w:spacing w:after="0" w:line="360" w:lineRule="auto"/>
        <w:ind w:left="709"/>
        <w:jc w:val="both"/>
        <w:rPr>
          <w:rFonts w:ascii="Arial" w:hAnsi="Arial" w:cs="Arial"/>
        </w:rPr>
      </w:pPr>
      <w:r w:rsidRPr="005546E6">
        <w:rPr>
          <w:rFonts w:ascii="Arial" w:hAnsi="Arial" w:cs="Arial"/>
        </w:rPr>
        <w:t xml:space="preserve">Wyjaśnienie dotyczące </w:t>
      </w:r>
      <w:r w:rsidR="00CA16EB" w:rsidRPr="005546E6">
        <w:rPr>
          <w:rFonts w:ascii="Arial" w:hAnsi="Arial" w:cs="Arial"/>
        </w:rPr>
        <w:t xml:space="preserve">zapisów w księdze druków ścisłego zarachowania odnośnie czeków, tj. „czeki zostały </w:t>
      </w:r>
      <w:r w:rsidR="00CA16EB">
        <w:rPr>
          <w:rFonts w:ascii="Arial" w:hAnsi="Arial" w:cs="Arial"/>
        </w:rPr>
        <w:t>pobrane w dniu 14.01.2020 r. o nr 0012043480 do nr 0012043504 i nie zostały zdane” nie znajduje odzwierciedlenia w ewidencji druków ścisłego zarachowania, bowiem w</w:t>
      </w:r>
      <w:r w:rsidR="008B6E14">
        <w:rPr>
          <w:rFonts w:ascii="Arial" w:hAnsi="Arial" w:cs="Arial"/>
        </w:rPr>
        <w:t> </w:t>
      </w:r>
      <w:r w:rsidR="00CA16EB">
        <w:rPr>
          <w:rFonts w:ascii="Arial" w:hAnsi="Arial" w:cs="Arial"/>
        </w:rPr>
        <w:t>księdze w kolumnie „Adnotacje dotyczące zwrotu druków – data i podpis zwracającego” widnieje podpis pracownika z datą 30.10.2020 r.</w:t>
      </w:r>
      <w:r w:rsidR="009563CD">
        <w:rPr>
          <w:rFonts w:ascii="Arial" w:hAnsi="Arial" w:cs="Arial"/>
        </w:rPr>
        <w:t xml:space="preserve"> Ponadto w kolumnie „Ewentualna ilość niezużytych druków” wpisano adnotację, że druk  o nr 0012043489 został anulowany 30.12.2020 r. </w:t>
      </w:r>
      <w:r w:rsidR="00CA16EB">
        <w:rPr>
          <w:rFonts w:ascii="Arial" w:hAnsi="Arial" w:cs="Arial"/>
        </w:rPr>
        <w:t xml:space="preserve"> Zatem z powyższego wynika, że w tym dniu druki </w:t>
      </w:r>
      <w:r w:rsidR="009563CD">
        <w:rPr>
          <w:rFonts w:ascii="Arial" w:hAnsi="Arial" w:cs="Arial"/>
        </w:rPr>
        <w:t xml:space="preserve">od nr 0012043480 do nr 0012043504 </w:t>
      </w:r>
      <w:r w:rsidR="00CA16EB">
        <w:rPr>
          <w:rFonts w:ascii="Arial" w:hAnsi="Arial" w:cs="Arial"/>
        </w:rPr>
        <w:t>zostały zdane.</w:t>
      </w:r>
      <w:r w:rsidR="009563CD">
        <w:rPr>
          <w:rFonts w:ascii="Arial" w:hAnsi="Arial" w:cs="Arial"/>
        </w:rPr>
        <w:t xml:space="preserve"> </w:t>
      </w:r>
      <w:r w:rsidR="00CA16EB">
        <w:rPr>
          <w:rFonts w:ascii="Arial" w:hAnsi="Arial" w:cs="Arial"/>
        </w:rPr>
        <w:t>Wnioskować zatem można, że w jednostce w nieprawidłowy sposób interpretuje się zapisy wprowadz</w:t>
      </w:r>
      <w:r w:rsidR="001C00C4">
        <w:rPr>
          <w:rFonts w:ascii="Arial" w:hAnsi="Arial" w:cs="Arial"/>
        </w:rPr>
        <w:t>o</w:t>
      </w:r>
      <w:r w:rsidR="00CA16EB">
        <w:rPr>
          <w:rFonts w:ascii="Arial" w:hAnsi="Arial" w:cs="Arial"/>
        </w:rPr>
        <w:t>ne do księgi i tym samym w nieprawidłowy sposób jest ona prowadzona.</w:t>
      </w:r>
    </w:p>
    <w:p w14:paraId="27AAF133" w14:textId="122E4898" w:rsidR="00494032" w:rsidRDefault="00494032" w:rsidP="005546E6">
      <w:pPr>
        <w:pStyle w:val="Akapitzlist"/>
        <w:numPr>
          <w:ilvl w:val="0"/>
          <w:numId w:val="7"/>
        </w:numPr>
        <w:ind w:left="709" w:hanging="709"/>
        <w:rPr>
          <w:rFonts w:ascii="Arial" w:hAnsi="Arial" w:cs="Arial"/>
          <w:sz w:val="22"/>
          <w:szCs w:val="22"/>
          <w:lang w:val="pl-PL"/>
        </w:rPr>
      </w:pPr>
      <w:r w:rsidRPr="00494032">
        <w:rPr>
          <w:rFonts w:ascii="Arial" w:hAnsi="Arial" w:cs="Arial"/>
          <w:sz w:val="22"/>
          <w:szCs w:val="22"/>
          <w:lang w:val="pl-PL"/>
        </w:rPr>
        <w:t>W zakresie dochodzenia należności przyznaję, że w tym jednym przypadku</w:t>
      </w:r>
      <w:r w:rsidR="008B6E14">
        <w:rPr>
          <w:rFonts w:ascii="Arial" w:hAnsi="Arial" w:cs="Arial"/>
          <w:sz w:val="22"/>
          <w:szCs w:val="22"/>
          <w:lang w:val="pl-PL"/>
        </w:rPr>
        <w:t>,</w:t>
      </w:r>
      <w:r w:rsidRPr="00494032">
        <w:rPr>
          <w:rFonts w:ascii="Arial" w:hAnsi="Arial" w:cs="Arial"/>
          <w:sz w:val="22"/>
          <w:szCs w:val="22"/>
          <w:lang w:val="pl-PL"/>
        </w:rPr>
        <w:t xml:space="preserve"> </w:t>
      </w:r>
      <w:r>
        <w:rPr>
          <w:rFonts w:ascii="Arial" w:hAnsi="Arial" w:cs="Arial"/>
          <w:sz w:val="22"/>
          <w:szCs w:val="22"/>
          <w:lang w:val="pl-PL"/>
        </w:rPr>
        <w:t xml:space="preserve">z pośród wielu opisanych </w:t>
      </w:r>
      <w:r w:rsidRPr="00494032">
        <w:rPr>
          <w:rFonts w:ascii="Arial" w:hAnsi="Arial" w:cs="Arial"/>
          <w:sz w:val="22"/>
          <w:szCs w:val="22"/>
          <w:lang w:val="pl-PL"/>
        </w:rPr>
        <w:t>w protokole</w:t>
      </w:r>
      <w:r w:rsidR="008B6E14">
        <w:rPr>
          <w:rFonts w:ascii="Arial" w:hAnsi="Arial" w:cs="Arial"/>
          <w:sz w:val="22"/>
          <w:szCs w:val="22"/>
          <w:lang w:val="pl-PL"/>
        </w:rPr>
        <w:t xml:space="preserve"> przykładów,  </w:t>
      </w:r>
      <w:r w:rsidRPr="00494032">
        <w:rPr>
          <w:rFonts w:ascii="Arial" w:hAnsi="Arial" w:cs="Arial"/>
          <w:sz w:val="22"/>
          <w:szCs w:val="22"/>
          <w:lang w:val="pl-PL"/>
        </w:rPr>
        <w:t xml:space="preserve"> </w:t>
      </w:r>
      <w:r>
        <w:rPr>
          <w:rFonts w:ascii="Arial" w:hAnsi="Arial" w:cs="Arial"/>
          <w:sz w:val="22"/>
          <w:szCs w:val="22"/>
          <w:lang w:val="pl-PL"/>
        </w:rPr>
        <w:t xml:space="preserve">błędnie wskazano, że nie zastosowano skutecznego środka egzekucyjnego, ale efekt dochodzenia należności jest ten sam ponieważ umorzono należność z uwagi na przedawnienie. </w:t>
      </w:r>
    </w:p>
    <w:p w14:paraId="723F738A" w14:textId="6D7EFB12" w:rsidR="00494032" w:rsidRPr="00494032" w:rsidRDefault="008B6E14" w:rsidP="005546E6">
      <w:pPr>
        <w:pStyle w:val="Akapitzlist"/>
        <w:numPr>
          <w:ilvl w:val="0"/>
          <w:numId w:val="7"/>
        </w:numPr>
        <w:ind w:left="709" w:hanging="709"/>
        <w:rPr>
          <w:rFonts w:ascii="Arial" w:hAnsi="Arial" w:cs="Arial"/>
          <w:sz w:val="22"/>
          <w:szCs w:val="22"/>
          <w:lang w:val="pl-PL"/>
        </w:rPr>
      </w:pPr>
      <w:r>
        <w:rPr>
          <w:rFonts w:ascii="Arial" w:hAnsi="Arial" w:cs="Arial"/>
          <w:sz w:val="22"/>
          <w:szCs w:val="22"/>
          <w:lang w:val="pl-PL"/>
        </w:rPr>
        <w:t>A</w:t>
      </w:r>
      <w:r w:rsidR="00494032" w:rsidRPr="00494032">
        <w:rPr>
          <w:rFonts w:ascii="Arial" w:hAnsi="Arial" w:cs="Arial"/>
          <w:sz w:val="22"/>
          <w:szCs w:val="22"/>
          <w:lang w:val="pl-PL"/>
        </w:rPr>
        <w:t>rgument przywołany w wyjaśnieniach „</w:t>
      </w:r>
      <w:r w:rsidR="00494032" w:rsidRPr="00494032">
        <w:rPr>
          <w:rFonts w:ascii="Arial" w:hAnsi="Arial" w:cs="Arial"/>
          <w:i/>
          <w:iCs/>
          <w:sz w:val="22"/>
          <w:szCs w:val="22"/>
          <w:lang w:val="pl-PL"/>
        </w:rPr>
        <w:t>nie sposób bezkrytycznie zgodzić się z</w:t>
      </w:r>
      <w:r w:rsidR="00BF5B0D">
        <w:rPr>
          <w:rFonts w:ascii="Arial" w:hAnsi="Arial" w:cs="Arial"/>
          <w:i/>
          <w:iCs/>
          <w:sz w:val="22"/>
          <w:szCs w:val="22"/>
          <w:lang w:val="pl-PL"/>
        </w:rPr>
        <w:t> </w:t>
      </w:r>
      <w:r w:rsidR="00494032" w:rsidRPr="00494032">
        <w:rPr>
          <w:rFonts w:ascii="Arial" w:hAnsi="Arial" w:cs="Arial"/>
          <w:i/>
          <w:iCs/>
          <w:sz w:val="22"/>
          <w:szCs w:val="22"/>
          <w:lang w:val="pl-PL"/>
        </w:rPr>
        <w:t>powyższym zarzutem bowiem w pozostałych kontrolowanych postępowaniach objętych stosowaniem ustawy […] nie wniesiono uwag co do prawidłowości w</w:t>
      </w:r>
      <w:r w:rsidR="005546E6">
        <w:rPr>
          <w:rFonts w:ascii="Arial" w:hAnsi="Arial" w:cs="Arial"/>
          <w:i/>
          <w:iCs/>
          <w:sz w:val="22"/>
          <w:szCs w:val="22"/>
          <w:lang w:val="pl-PL"/>
        </w:rPr>
        <w:t> </w:t>
      </w:r>
      <w:r w:rsidR="00494032" w:rsidRPr="00494032">
        <w:rPr>
          <w:rFonts w:ascii="Arial" w:hAnsi="Arial" w:cs="Arial"/>
          <w:i/>
          <w:iCs/>
          <w:sz w:val="22"/>
          <w:szCs w:val="22"/>
          <w:lang w:val="pl-PL"/>
        </w:rPr>
        <w:t>szacowaniu wartości zamówienia”</w:t>
      </w:r>
      <w:r w:rsidR="00494032" w:rsidRPr="00494032">
        <w:rPr>
          <w:rFonts w:ascii="Arial" w:hAnsi="Arial" w:cs="Arial"/>
          <w:sz w:val="22"/>
          <w:szCs w:val="22"/>
          <w:lang w:val="pl-PL"/>
        </w:rPr>
        <w:t xml:space="preserve"> wy</w:t>
      </w:r>
      <w:r w:rsidR="00BF5B0D">
        <w:rPr>
          <w:rFonts w:ascii="Arial" w:hAnsi="Arial" w:cs="Arial"/>
          <w:sz w:val="22"/>
          <w:szCs w:val="22"/>
          <w:lang w:val="pl-PL"/>
        </w:rPr>
        <w:t>d</w:t>
      </w:r>
      <w:r w:rsidR="00494032" w:rsidRPr="00494032">
        <w:rPr>
          <w:rFonts w:ascii="Arial" w:hAnsi="Arial" w:cs="Arial"/>
          <w:sz w:val="22"/>
          <w:szCs w:val="22"/>
          <w:lang w:val="pl-PL"/>
        </w:rPr>
        <w:t>a</w:t>
      </w:r>
      <w:r w:rsidR="00BF5B0D">
        <w:rPr>
          <w:rFonts w:ascii="Arial" w:hAnsi="Arial" w:cs="Arial"/>
          <w:sz w:val="22"/>
          <w:szCs w:val="22"/>
          <w:lang w:val="pl-PL"/>
        </w:rPr>
        <w:t>j</w:t>
      </w:r>
      <w:r w:rsidR="00494032" w:rsidRPr="00494032">
        <w:rPr>
          <w:rFonts w:ascii="Arial" w:hAnsi="Arial" w:cs="Arial"/>
          <w:sz w:val="22"/>
          <w:szCs w:val="22"/>
          <w:lang w:val="pl-PL"/>
        </w:rPr>
        <w:t xml:space="preserve">ę się być niezrozumiały w kontekście </w:t>
      </w:r>
      <w:r w:rsidR="00494032" w:rsidRPr="00494032">
        <w:rPr>
          <w:rFonts w:ascii="Arial" w:hAnsi="Arial" w:cs="Arial"/>
          <w:sz w:val="22"/>
          <w:szCs w:val="22"/>
          <w:lang w:val="pl-PL"/>
        </w:rPr>
        <w:lastRenderedPageBreak/>
        <w:t>stwierdzonych nieprawidłowości. W</w:t>
      </w:r>
      <w:r w:rsidR="00BF5B0D">
        <w:rPr>
          <w:rFonts w:ascii="Arial" w:hAnsi="Arial" w:cs="Arial"/>
          <w:sz w:val="22"/>
          <w:szCs w:val="22"/>
          <w:lang w:val="pl-PL"/>
        </w:rPr>
        <w:t> </w:t>
      </w:r>
      <w:r w:rsidR="00494032" w:rsidRPr="00494032">
        <w:rPr>
          <w:rFonts w:ascii="Arial" w:hAnsi="Arial" w:cs="Arial"/>
          <w:sz w:val="22"/>
          <w:szCs w:val="22"/>
          <w:lang w:val="pl-PL"/>
        </w:rPr>
        <w:t>protokole kontroli ocenie poddano losowo wybrane postępowania o udzielenie zamówienia publicznego, zarówno te których procedurę oparto bezpośrednio o zapisy ustawy jak i te których procedura opierała się o</w:t>
      </w:r>
      <w:r w:rsidR="005546E6">
        <w:rPr>
          <w:rFonts w:ascii="Arial" w:hAnsi="Arial" w:cs="Arial"/>
          <w:sz w:val="22"/>
          <w:szCs w:val="22"/>
          <w:lang w:val="pl-PL"/>
        </w:rPr>
        <w:t> </w:t>
      </w:r>
      <w:r w:rsidR="00494032" w:rsidRPr="00494032">
        <w:rPr>
          <w:rFonts w:ascii="Arial" w:hAnsi="Arial" w:cs="Arial"/>
          <w:sz w:val="22"/>
          <w:szCs w:val="22"/>
          <w:lang w:val="pl-PL"/>
        </w:rPr>
        <w:t xml:space="preserve">funkcjonujący w jednostce regulamin. W 6 z 8 opisanych postępowań sformułowano uwagi co do staranności szacowania wartości zamówienia, oparte na dokumentacji, którą przedłożono do kontroli. Warto wspomnieć także, że nieprawidłowości w zakresie szacowania wartości zamówień stwierdzono również w protokole kontroli oraz wystąpieniu pokontrolnym z 2017 r. Jako, że zakres kontroli obejmował również wykonanie zaleceń pokontrolnych z 2017 r. zasadnym było sformułowanie wniosków w tym zakresie. Ponadto, odnosząc się do wyjaśnień dotyczących szacowania wartości zamówienia na ochronę parkingów wielopoziomowych, </w:t>
      </w:r>
      <w:r w:rsidR="00494032" w:rsidRPr="005546E6">
        <w:rPr>
          <w:rFonts w:ascii="Arial" w:hAnsi="Arial" w:cs="Arial"/>
          <w:b/>
          <w:bCs/>
          <w:spacing w:val="2"/>
          <w:sz w:val="22"/>
          <w:szCs w:val="22"/>
          <w:u w:val="single"/>
          <w:lang w:val="pl-PL"/>
        </w:rPr>
        <w:t>ponownie pokreślić należy, że kontrolujące odniosły się</w:t>
      </w:r>
      <w:r w:rsidR="00BF5B0D" w:rsidRPr="005546E6">
        <w:rPr>
          <w:rFonts w:ascii="Arial" w:hAnsi="Arial" w:cs="Arial"/>
          <w:b/>
          <w:bCs/>
          <w:spacing w:val="2"/>
          <w:sz w:val="22"/>
          <w:szCs w:val="22"/>
          <w:u w:val="single"/>
          <w:lang w:val="pl-PL"/>
        </w:rPr>
        <w:t xml:space="preserve"> do</w:t>
      </w:r>
      <w:r w:rsidR="00494032" w:rsidRPr="005546E6">
        <w:rPr>
          <w:rFonts w:ascii="Arial" w:hAnsi="Arial" w:cs="Arial"/>
          <w:b/>
          <w:bCs/>
          <w:spacing w:val="2"/>
          <w:sz w:val="22"/>
          <w:szCs w:val="22"/>
          <w:u w:val="single"/>
          <w:lang w:val="pl-PL"/>
        </w:rPr>
        <w:t xml:space="preserve"> faktów wynikających z dokumentacji przedłożonej do kontroli.</w:t>
      </w:r>
      <w:r w:rsidR="00494032" w:rsidRPr="00494032">
        <w:rPr>
          <w:rFonts w:ascii="Arial" w:hAnsi="Arial" w:cs="Arial"/>
          <w:sz w:val="22"/>
          <w:szCs w:val="22"/>
          <w:lang w:val="pl-PL"/>
        </w:rPr>
        <w:t xml:space="preserve"> W treści  dokumentu pn. </w:t>
      </w:r>
      <w:r w:rsidR="00494032" w:rsidRPr="00494032">
        <w:rPr>
          <w:rFonts w:ascii="Arial" w:hAnsi="Arial" w:cs="Arial"/>
          <w:i/>
          <w:iCs/>
          <w:sz w:val="22"/>
          <w:szCs w:val="22"/>
          <w:lang w:val="pl-PL"/>
        </w:rPr>
        <w:t xml:space="preserve">„ kalkulacja kosztów postępowania” </w:t>
      </w:r>
      <w:r w:rsidR="00494032" w:rsidRPr="00494032">
        <w:rPr>
          <w:rFonts w:ascii="Arial" w:hAnsi="Arial" w:cs="Arial"/>
          <w:sz w:val="22"/>
          <w:szCs w:val="22"/>
          <w:lang w:val="pl-PL"/>
        </w:rPr>
        <w:t>z 29.11.2021 r. nie wskazano na jakich wskaźnikach oparto kalkulację</w:t>
      </w:r>
      <w:r w:rsidR="00494032" w:rsidRPr="00494032">
        <w:rPr>
          <w:rFonts w:ascii="Arial" w:hAnsi="Arial" w:cs="Arial"/>
          <w:i/>
          <w:iCs/>
          <w:sz w:val="22"/>
          <w:szCs w:val="22"/>
          <w:lang w:val="pl-PL"/>
        </w:rPr>
        <w:t xml:space="preserve">.  </w:t>
      </w:r>
      <w:r w:rsidR="00494032" w:rsidRPr="00494032">
        <w:rPr>
          <w:rFonts w:ascii="Arial" w:hAnsi="Arial" w:cs="Arial"/>
          <w:sz w:val="22"/>
          <w:szCs w:val="22"/>
          <w:lang w:val="pl-PL"/>
        </w:rPr>
        <w:t xml:space="preserve">W protokole kontroli stwierdzono, że </w:t>
      </w:r>
      <w:r w:rsidR="00494032" w:rsidRPr="00494032">
        <w:rPr>
          <w:rFonts w:ascii="Arial" w:hAnsi="Arial" w:cs="Arial"/>
          <w:i/>
          <w:iCs/>
          <w:sz w:val="22"/>
          <w:szCs w:val="22"/>
          <w:lang w:val="pl-PL"/>
        </w:rPr>
        <w:t>„</w:t>
      </w:r>
      <w:r w:rsidR="00494032" w:rsidRPr="00494032">
        <w:rPr>
          <w:rFonts w:ascii="Arial" w:hAnsi="Arial" w:cs="Arial"/>
          <w:b/>
          <w:bCs/>
          <w:i/>
          <w:iCs/>
          <w:sz w:val="22"/>
          <w:szCs w:val="22"/>
          <w:u w:val="single"/>
          <w:lang w:val="pl-PL"/>
        </w:rPr>
        <w:t>dokumentacja poddana kontroli</w:t>
      </w:r>
      <w:r w:rsidR="00494032" w:rsidRPr="00494032">
        <w:rPr>
          <w:rFonts w:ascii="Arial" w:hAnsi="Arial" w:cs="Arial"/>
          <w:i/>
          <w:iCs/>
          <w:sz w:val="22"/>
          <w:szCs w:val="22"/>
          <w:lang w:val="pl-PL"/>
        </w:rPr>
        <w:t xml:space="preserve"> […]nie potwierdza, że szacowanie wartości zamówienia odbywa się z należytą starannością”</w:t>
      </w:r>
      <w:r w:rsidR="00494032" w:rsidRPr="00494032">
        <w:rPr>
          <w:rFonts w:ascii="Arial" w:hAnsi="Arial" w:cs="Arial"/>
          <w:sz w:val="22"/>
          <w:szCs w:val="22"/>
          <w:lang w:val="pl-PL"/>
        </w:rPr>
        <w:t xml:space="preserve"> i jest to zgodne ze stanem faktycznym. W treści wyjaśnień uszczegółowiono, że wzrost stawki godzinowej o 10, 8 % stanowi sumę dwóch wskaźników, tj. prognozowanego średniorocznego wskaźnika cen towarów i usług konsumpcyjnych ogółem na 2022 r. tzn. 3,3 % oraz wskaźnik wzrostu wysokości minimalnego wynagrodzenia za pracę w</w:t>
      </w:r>
      <w:r w:rsidR="005546E6">
        <w:rPr>
          <w:rFonts w:ascii="Arial" w:hAnsi="Arial" w:cs="Arial"/>
          <w:sz w:val="22"/>
          <w:szCs w:val="22"/>
          <w:lang w:val="pl-PL"/>
        </w:rPr>
        <w:t> </w:t>
      </w:r>
      <w:r w:rsidR="00494032" w:rsidRPr="00494032">
        <w:rPr>
          <w:rFonts w:ascii="Arial" w:hAnsi="Arial" w:cs="Arial"/>
          <w:sz w:val="22"/>
          <w:szCs w:val="22"/>
          <w:lang w:val="pl-PL"/>
        </w:rPr>
        <w:t>2022 r. w stosunku do 2021 r. tzn. 7,5 %. Tymczasem zgodnie z przywołanym rozporządzeniem minimalna stawka godzinowa w 2021 r.  wynosiła 18,30 zł, a</w:t>
      </w:r>
      <w:r w:rsidR="005546E6">
        <w:rPr>
          <w:rFonts w:ascii="Arial" w:hAnsi="Arial" w:cs="Arial"/>
          <w:sz w:val="22"/>
          <w:szCs w:val="22"/>
          <w:lang w:val="pl-PL"/>
        </w:rPr>
        <w:t> </w:t>
      </w:r>
      <w:r w:rsidR="00494032" w:rsidRPr="00494032">
        <w:rPr>
          <w:rFonts w:ascii="Arial" w:hAnsi="Arial" w:cs="Arial"/>
          <w:sz w:val="22"/>
          <w:szCs w:val="22"/>
          <w:lang w:val="pl-PL"/>
        </w:rPr>
        <w:t>w</w:t>
      </w:r>
      <w:r w:rsidR="005546E6">
        <w:rPr>
          <w:rFonts w:ascii="Arial" w:hAnsi="Arial" w:cs="Arial"/>
          <w:sz w:val="22"/>
          <w:szCs w:val="22"/>
          <w:lang w:val="pl-PL"/>
        </w:rPr>
        <w:t> </w:t>
      </w:r>
      <w:r w:rsidR="00494032" w:rsidRPr="00494032">
        <w:rPr>
          <w:rFonts w:ascii="Arial" w:hAnsi="Arial" w:cs="Arial"/>
          <w:sz w:val="22"/>
          <w:szCs w:val="22"/>
          <w:lang w:val="pl-PL"/>
        </w:rPr>
        <w:t>2022</w:t>
      </w:r>
      <w:r w:rsidR="005546E6">
        <w:rPr>
          <w:rFonts w:ascii="Arial" w:hAnsi="Arial" w:cs="Arial"/>
          <w:sz w:val="22"/>
          <w:szCs w:val="22"/>
          <w:lang w:val="pl-PL"/>
        </w:rPr>
        <w:t> </w:t>
      </w:r>
      <w:r w:rsidR="00494032" w:rsidRPr="00494032">
        <w:rPr>
          <w:rFonts w:ascii="Arial" w:hAnsi="Arial" w:cs="Arial"/>
          <w:sz w:val="22"/>
          <w:szCs w:val="22"/>
          <w:lang w:val="pl-PL"/>
        </w:rPr>
        <w:t>r. 19,70</w:t>
      </w:r>
      <w:r w:rsidR="00BF5B0D">
        <w:rPr>
          <w:rFonts w:ascii="Arial" w:hAnsi="Arial" w:cs="Arial"/>
          <w:sz w:val="22"/>
          <w:szCs w:val="22"/>
          <w:lang w:val="pl-PL"/>
        </w:rPr>
        <w:t> </w:t>
      </w:r>
      <w:r w:rsidR="00494032" w:rsidRPr="00494032">
        <w:rPr>
          <w:rFonts w:ascii="Arial" w:hAnsi="Arial" w:cs="Arial"/>
          <w:sz w:val="22"/>
          <w:szCs w:val="22"/>
          <w:lang w:val="pl-PL"/>
        </w:rPr>
        <w:t>zł, a to oznacza, że wzrost wynosił 7,65 %</w:t>
      </w:r>
      <w:r w:rsidR="00BF5B0D">
        <w:rPr>
          <w:rFonts w:ascii="Arial" w:hAnsi="Arial" w:cs="Arial"/>
          <w:sz w:val="22"/>
          <w:szCs w:val="22"/>
          <w:lang w:val="pl-PL"/>
        </w:rPr>
        <w:t>,</w:t>
      </w:r>
      <w:r w:rsidR="00494032" w:rsidRPr="00494032">
        <w:rPr>
          <w:rFonts w:ascii="Arial" w:hAnsi="Arial" w:cs="Arial"/>
          <w:sz w:val="22"/>
          <w:szCs w:val="22"/>
          <w:lang w:val="pl-PL"/>
        </w:rPr>
        <w:t xml:space="preserve"> a nie jak wskazano w</w:t>
      </w:r>
      <w:r w:rsidR="005546E6">
        <w:rPr>
          <w:rFonts w:ascii="Arial" w:hAnsi="Arial" w:cs="Arial"/>
          <w:sz w:val="22"/>
          <w:szCs w:val="22"/>
          <w:lang w:val="pl-PL"/>
        </w:rPr>
        <w:t> </w:t>
      </w:r>
      <w:r w:rsidR="00494032" w:rsidRPr="00494032">
        <w:rPr>
          <w:rFonts w:ascii="Arial" w:hAnsi="Arial" w:cs="Arial"/>
          <w:sz w:val="22"/>
          <w:szCs w:val="22"/>
          <w:lang w:val="pl-PL"/>
        </w:rPr>
        <w:t xml:space="preserve">wyjaśnieniach 7,5 %. </w:t>
      </w:r>
    </w:p>
    <w:p w14:paraId="07407B42" w14:textId="4708AD43" w:rsidR="00494032" w:rsidRPr="00494032" w:rsidRDefault="00BF5B0D" w:rsidP="005546E6">
      <w:pPr>
        <w:pStyle w:val="Akapitzlist"/>
        <w:ind w:left="709"/>
        <w:rPr>
          <w:rFonts w:ascii="Arial" w:hAnsi="Arial" w:cs="Arial"/>
          <w:sz w:val="22"/>
          <w:szCs w:val="22"/>
          <w:lang w:val="pl-PL"/>
        </w:rPr>
      </w:pPr>
      <w:r>
        <w:rPr>
          <w:rFonts w:ascii="Arial" w:hAnsi="Arial" w:cs="Arial"/>
          <w:sz w:val="22"/>
          <w:szCs w:val="22"/>
          <w:lang w:val="pl-PL"/>
        </w:rPr>
        <w:t>W odniesieniu do wniosku zbierania i utylizacji padłych zwierząt zaznaczamy, że w</w:t>
      </w:r>
      <w:r w:rsidR="00A0469B">
        <w:rPr>
          <w:rFonts w:ascii="Arial" w:hAnsi="Arial" w:cs="Arial"/>
          <w:sz w:val="22"/>
          <w:szCs w:val="22"/>
          <w:lang w:val="pl-PL"/>
        </w:rPr>
        <w:t> </w:t>
      </w:r>
      <w:r w:rsidR="00494032" w:rsidRPr="00494032">
        <w:rPr>
          <w:rFonts w:ascii="Arial" w:hAnsi="Arial" w:cs="Arial"/>
          <w:sz w:val="22"/>
          <w:szCs w:val="22"/>
          <w:lang w:val="pl-PL"/>
        </w:rPr>
        <w:t xml:space="preserve">trakcie czynności kontrolnych kontrolujące kilkukrotnie artykułowały pracownikowi </w:t>
      </w:r>
      <w:proofErr w:type="spellStart"/>
      <w:r w:rsidR="00494032" w:rsidRPr="00494032">
        <w:rPr>
          <w:rFonts w:ascii="Arial" w:hAnsi="Arial" w:cs="Arial"/>
          <w:sz w:val="22"/>
          <w:szCs w:val="22"/>
          <w:lang w:val="pl-PL"/>
        </w:rPr>
        <w:t>MZUiM</w:t>
      </w:r>
      <w:proofErr w:type="spellEnd"/>
      <w:r w:rsidR="00494032" w:rsidRPr="00494032">
        <w:rPr>
          <w:rFonts w:ascii="Arial" w:hAnsi="Arial" w:cs="Arial"/>
          <w:sz w:val="22"/>
          <w:szCs w:val="22"/>
          <w:lang w:val="pl-PL"/>
        </w:rPr>
        <w:t xml:space="preserve"> odpowiedzialnemu za kontrolę merytoryczną faktur </w:t>
      </w:r>
      <w:r>
        <w:rPr>
          <w:rFonts w:ascii="Arial" w:hAnsi="Arial" w:cs="Arial"/>
          <w:sz w:val="22"/>
          <w:szCs w:val="22"/>
          <w:lang w:val="pl-PL"/>
        </w:rPr>
        <w:t>w powyższym zakresie</w:t>
      </w:r>
      <w:r w:rsidR="00494032" w:rsidRPr="00494032">
        <w:rPr>
          <w:rFonts w:ascii="Arial" w:hAnsi="Arial" w:cs="Arial"/>
          <w:sz w:val="22"/>
          <w:szCs w:val="22"/>
          <w:lang w:val="pl-PL"/>
        </w:rPr>
        <w:t>, że dokumentacja przedłożona do kontroli wskazuje na rozbieżności między zbiorczymi zestawieniami,  a</w:t>
      </w:r>
      <w:r w:rsidR="00A0469B">
        <w:rPr>
          <w:rFonts w:ascii="Arial" w:hAnsi="Arial" w:cs="Arial"/>
          <w:sz w:val="22"/>
          <w:szCs w:val="22"/>
          <w:lang w:val="pl-PL"/>
        </w:rPr>
        <w:t> </w:t>
      </w:r>
      <w:r w:rsidR="00494032" w:rsidRPr="00494032">
        <w:rPr>
          <w:rFonts w:ascii="Arial" w:hAnsi="Arial" w:cs="Arial"/>
          <w:sz w:val="22"/>
          <w:szCs w:val="22"/>
          <w:lang w:val="pl-PL"/>
        </w:rPr>
        <w:t xml:space="preserve">dokumentami handlowymi za marzec oraz sierpień. Dopiero po ujawnieniu przez kontrolujące powyższych nieprawidłowości Wykonawca dostarczył wymagane dokumenty, co oznacza że w istocie jednostka nie wypłaciła Wykonawcy nienależnego wynagrodzenia z tytułu realizacji usługi, ale potwierdza jednocześnie, że pracownik MZUIM nie dokonał  weryfikacji dokumentów, które Wykonawca przedłożył wraz z fakturami oraz nie przeprowadził rzetelnej weryfikacji faktur pod względem merytorycznym przed dokonaniem wydatku. Nadmienić należy również, że w trakcie prowadzenia czynności kontrolnych kontrolujące wskazywały, że jednostka nie prowadzi rejestru zgłoszeń dotyczącego padłych zwierząt, podając jednocześnie </w:t>
      </w:r>
      <w:r w:rsidR="00494032" w:rsidRPr="00494032">
        <w:rPr>
          <w:rFonts w:ascii="Arial" w:hAnsi="Arial" w:cs="Arial"/>
          <w:sz w:val="22"/>
          <w:szCs w:val="22"/>
          <w:lang w:val="pl-PL"/>
        </w:rPr>
        <w:lastRenderedPageBreak/>
        <w:t xml:space="preserve">argumenty potwierdzające zasadność prowadzenia takiego rejestru pod kątem tzw. „pustych wyjazdów”. </w:t>
      </w:r>
      <w:r w:rsidR="00494032" w:rsidRPr="00494032">
        <w:rPr>
          <w:rFonts w:ascii="Arial" w:hAnsi="Arial" w:cs="Arial"/>
          <w:b/>
          <w:bCs/>
          <w:sz w:val="22"/>
          <w:szCs w:val="22"/>
          <w:u w:val="single"/>
          <w:lang w:val="pl-PL"/>
        </w:rPr>
        <w:t>Stan faktyczny opisany w protokole oparty został o</w:t>
      </w:r>
      <w:r w:rsidR="005546E6">
        <w:rPr>
          <w:rFonts w:ascii="Arial" w:hAnsi="Arial" w:cs="Arial"/>
          <w:b/>
          <w:bCs/>
          <w:sz w:val="22"/>
          <w:szCs w:val="22"/>
          <w:u w:val="single"/>
          <w:lang w:val="pl-PL"/>
        </w:rPr>
        <w:t> </w:t>
      </w:r>
      <w:r w:rsidR="00494032" w:rsidRPr="00494032">
        <w:rPr>
          <w:rFonts w:ascii="Arial" w:hAnsi="Arial" w:cs="Arial"/>
          <w:b/>
          <w:bCs/>
          <w:sz w:val="22"/>
          <w:szCs w:val="22"/>
          <w:u w:val="single"/>
          <w:lang w:val="pl-PL"/>
        </w:rPr>
        <w:t>dokumentację przedłożoną do kontroli oraz wyjaśnienia udzielone w trakcie kontroli</w:t>
      </w:r>
      <w:r w:rsidR="00494032" w:rsidRPr="00494032">
        <w:rPr>
          <w:rFonts w:ascii="Arial" w:hAnsi="Arial" w:cs="Arial"/>
          <w:sz w:val="22"/>
          <w:szCs w:val="22"/>
          <w:lang w:val="pl-PL"/>
        </w:rPr>
        <w:t xml:space="preserve">. Kontrolujących nie poinformowano o zgłoszeniach SMS, o który wspomniano w wyjaśnieniach.  </w:t>
      </w:r>
    </w:p>
    <w:p w14:paraId="6A41DF80" w14:textId="1C973C6B" w:rsidR="002F4680" w:rsidRPr="002F4680" w:rsidRDefault="002F4680" w:rsidP="005546E6">
      <w:pPr>
        <w:pStyle w:val="Akapitzlist"/>
        <w:widowControl/>
        <w:numPr>
          <w:ilvl w:val="0"/>
          <w:numId w:val="8"/>
        </w:numPr>
        <w:suppressAutoHyphens w:val="0"/>
        <w:overflowPunct/>
        <w:ind w:left="709" w:hanging="709"/>
        <w:textAlignment w:val="auto"/>
        <w:rPr>
          <w:rFonts w:asciiTheme="minorBidi" w:hAnsiTheme="minorBidi"/>
          <w:sz w:val="22"/>
          <w:szCs w:val="22"/>
          <w:lang w:val="pl-PL"/>
        </w:rPr>
      </w:pPr>
      <w:r w:rsidRPr="002F4680">
        <w:rPr>
          <w:rFonts w:asciiTheme="minorBidi" w:hAnsiTheme="minorBidi"/>
          <w:sz w:val="22"/>
          <w:szCs w:val="22"/>
          <w:lang w:val="pl-PL"/>
        </w:rPr>
        <w:t>Wyjaśnienia dot.  preliminarza stanowiącego integraln</w:t>
      </w:r>
      <w:r w:rsidR="00A0469B">
        <w:rPr>
          <w:rFonts w:asciiTheme="minorBidi" w:hAnsiTheme="minorBidi"/>
          <w:sz w:val="22"/>
          <w:szCs w:val="22"/>
          <w:lang w:val="pl-PL"/>
        </w:rPr>
        <w:t>ą</w:t>
      </w:r>
      <w:r w:rsidRPr="002F4680">
        <w:rPr>
          <w:rFonts w:asciiTheme="minorBidi" w:hAnsiTheme="minorBidi"/>
          <w:sz w:val="22"/>
          <w:szCs w:val="22"/>
          <w:lang w:val="pl-PL"/>
        </w:rPr>
        <w:t xml:space="preserve"> część regulaminu ZFŚS w</w:t>
      </w:r>
      <w:r w:rsidR="00A0469B">
        <w:rPr>
          <w:rFonts w:asciiTheme="minorBidi" w:hAnsiTheme="minorBidi"/>
          <w:sz w:val="22"/>
          <w:szCs w:val="22"/>
          <w:lang w:val="pl-PL"/>
        </w:rPr>
        <w:t> </w:t>
      </w:r>
      <w:r w:rsidRPr="002F4680">
        <w:rPr>
          <w:rFonts w:asciiTheme="minorBidi" w:hAnsiTheme="minorBidi"/>
          <w:sz w:val="22"/>
          <w:szCs w:val="22"/>
          <w:lang w:val="pl-PL"/>
        </w:rPr>
        <w:t>którym określono podział środków oraz rodzaje i formy działalności socjalnej. Zgodnie z</w:t>
      </w:r>
      <w:r w:rsidR="00A0469B">
        <w:rPr>
          <w:rFonts w:asciiTheme="minorBidi" w:hAnsiTheme="minorBidi"/>
          <w:sz w:val="22"/>
          <w:szCs w:val="22"/>
          <w:lang w:val="pl-PL"/>
        </w:rPr>
        <w:t> </w:t>
      </w:r>
      <w:r w:rsidRPr="002F4680">
        <w:rPr>
          <w:rFonts w:asciiTheme="minorBidi" w:hAnsiTheme="minorBidi"/>
          <w:sz w:val="22"/>
          <w:szCs w:val="22"/>
          <w:lang w:val="pl-PL"/>
        </w:rPr>
        <w:t xml:space="preserve">definicją preliminarz to zestawienie planowanych dochodów i wydatków jakiejś instytucji, organizacji, a nie zasady ponoszenia tych wydatków. Ponadto jeżeli stanowi on integralną część regulaminu wprowadzonego zarządzeniem Dyrektora, coroczna jego zmiana musi być wprowadzana zarządzeniem Dyrektora. </w:t>
      </w:r>
    </w:p>
    <w:p w14:paraId="7C281D9E" w14:textId="77777777" w:rsidR="002F4680" w:rsidRPr="002F4680" w:rsidRDefault="002F4680" w:rsidP="005546E6">
      <w:pPr>
        <w:spacing w:after="0" w:line="360" w:lineRule="auto"/>
        <w:ind w:left="709"/>
        <w:jc w:val="both"/>
        <w:rPr>
          <w:rFonts w:asciiTheme="minorBidi" w:hAnsiTheme="minorBidi"/>
        </w:rPr>
      </w:pPr>
    </w:p>
    <w:p w14:paraId="51492011" w14:textId="33991B1D" w:rsidR="00494032" w:rsidRDefault="00CB3D23" w:rsidP="00CB3D23">
      <w:pPr>
        <w:pStyle w:val="Akapitzlist"/>
        <w:ind w:left="0" w:firstLine="5387"/>
        <w:jc w:val="center"/>
        <w:rPr>
          <w:rFonts w:ascii="Arial" w:hAnsi="Arial" w:cs="Arial"/>
          <w:sz w:val="22"/>
          <w:szCs w:val="22"/>
          <w:lang w:val="pl-PL"/>
        </w:rPr>
      </w:pPr>
      <w:r>
        <w:rPr>
          <w:rFonts w:ascii="Arial" w:hAnsi="Arial" w:cs="Arial"/>
          <w:sz w:val="22"/>
          <w:szCs w:val="22"/>
          <w:lang w:val="pl-PL"/>
        </w:rPr>
        <w:t>NACZELNIK</w:t>
      </w:r>
    </w:p>
    <w:p w14:paraId="2EC3535C" w14:textId="1C2A6419" w:rsidR="00CB3D23" w:rsidRDefault="00CB3D23" w:rsidP="00CB3D23">
      <w:pPr>
        <w:pStyle w:val="Akapitzlist"/>
        <w:ind w:left="0" w:firstLine="5387"/>
        <w:jc w:val="center"/>
        <w:rPr>
          <w:rFonts w:ascii="Arial" w:hAnsi="Arial" w:cs="Arial"/>
          <w:sz w:val="22"/>
          <w:szCs w:val="22"/>
          <w:lang w:val="pl-PL"/>
        </w:rPr>
      </w:pPr>
      <w:r>
        <w:rPr>
          <w:rFonts w:ascii="Arial" w:hAnsi="Arial" w:cs="Arial"/>
          <w:sz w:val="22"/>
          <w:szCs w:val="22"/>
          <w:lang w:val="pl-PL"/>
        </w:rPr>
        <w:t>Wydziału Kontroli</w:t>
      </w:r>
    </w:p>
    <w:p w14:paraId="67FE7848" w14:textId="12FE6519" w:rsidR="00CB3D23" w:rsidRPr="00494032" w:rsidRDefault="00CB3D23" w:rsidP="00CB3D23">
      <w:pPr>
        <w:pStyle w:val="Akapitzlist"/>
        <w:ind w:left="0" w:firstLine="5387"/>
        <w:jc w:val="center"/>
        <w:rPr>
          <w:rFonts w:ascii="Arial" w:hAnsi="Arial" w:cs="Arial"/>
          <w:sz w:val="22"/>
          <w:szCs w:val="22"/>
          <w:lang w:val="pl-PL"/>
        </w:rPr>
      </w:pPr>
      <w:r>
        <w:rPr>
          <w:rFonts w:ascii="Arial" w:hAnsi="Arial" w:cs="Arial"/>
          <w:sz w:val="22"/>
          <w:szCs w:val="22"/>
          <w:lang w:val="pl-PL"/>
        </w:rPr>
        <w:t xml:space="preserve">/-/ mgr Agnieszka </w:t>
      </w:r>
      <w:proofErr w:type="spellStart"/>
      <w:r>
        <w:rPr>
          <w:rFonts w:ascii="Arial" w:hAnsi="Arial" w:cs="Arial"/>
          <w:sz w:val="22"/>
          <w:szCs w:val="22"/>
          <w:lang w:val="pl-PL"/>
        </w:rPr>
        <w:t>Olak</w:t>
      </w:r>
      <w:proofErr w:type="spellEnd"/>
    </w:p>
    <w:p w14:paraId="61311536" w14:textId="77777777" w:rsidR="00494032" w:rsidRPr="00494032" w:rsidRDefault="00494032" w:rsidP="00494032">
      <w:pPr>
        <w:pStyle w:val="Akapitzlist"/>
        <w:ind w:left="0"/>
        <w:rPr>
          <w:rFonts w:ascii="Arial" w:hAnsi="Arial" w:cs="Arial"/>
          <w:sz w:val="22"/>
          <w:szCs w:val="22"/>
          <w:lang w:val="pl-PL"/>
        </w:rPr>
      </w:pPr>
    </w:p>
    <w:sectPr w:rsidR="00494032" w:rsidRPr="0049403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34294" w14:textId="77777777" w:rsidR="003D3F0F" w:rsidRDefault="003D3F0F" w:rsidP="003D3F0F">
      <w:pPr>
        <w:spacing w:after="0" w:line="240" w:lineRule="auto"/>
      </w:pPr>
      <w:r>
        <w:separator/>
      </w:r>
    </w:p>
  </w:endnote>
  <w:endnote w:type="continuationSeparator" w:id="0">
    <w:p w14:paraId="2CAB9FC2" w14:textId="77777777" w:rsidR="003D3F0F" w:rsidRDefault="003D3F0F" w:rsidP="003D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Arial Unicode M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298287"/>
      <w:docPartObj>
        <w:docPartGallery w:val="Page Numbers (Bottom of Page)"/>
        <w:docPartUnique/>
      </w:docPartObj>
    </w:sdtPr>
    <w:sdtEndPr/>
    <w:sdtContent>
      <w:p w14:paraId="4BB947C7" w14:textId="54913415" w:rsidR="003D3F0F" w:rsidRDefault="003D3F0F">
        <w:pPr>
          <w:pStyle w:val="Stopka"/>
          <w:jc w:val="center"/>
        </w:pPr>
        <w:r>
          <w:fldChar w:fldCharType="begin"/>
        </w:r>
        <w:r>
          <w:instrText>PAGE   \* MERGEFORMAT</w:instrText>
        </w:r>
        <w:r>
          <w:fldChar w:fldCharType="separate"/>
        </w:r>
        <w:r>
          <w:t>2</w:t>
        </w:r>
        <w:r>
          <w:fldChar w:fldCharType="end"/>
        </w:r>
      </w:p>
    </w:sdtContent>
  </w:sdt>
  <w:p w14:paraId="19381FE6" w14:textId="77777777" w:rsidR="003D3F0F" w:rsidRDefault="003D3F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138F" w14:textId="77777777" w:rsidR="003D3F0F" w:rsidRDefault="003D3F0F" w:rsidP="003D3F0F">
      <w:pPr>
        <w:spacing w:after="0" w:line="240" w:lineRule="auto"/>
      </w:pPr>
      <w:r>
        <w:separator/>
      </w:r>
    </w:p>
  </w:footnote>
  <w:footnote w:type="continuationSeparator" w:id="0">
    <w:p w14:paraId="5020AFC2" w14:textId="77777777" w:rsidR="003D3F0F" w:rsidRDefault="003D3F0F" w:rsidP="003D3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87D"/>
    <w:multiLevelType w:val="hybridMultilevel"/>
    <w:tmpl w:val="20AE2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1B121C"/>
    <w:multiLevelType w:val="hybridMultilevel"/>
    <w:tmpl w:val="866C78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A82AE9"/>
    <w:multiLevelType w:val="hybridMultilevel"/>
    <w:tmpl w:val="B7327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9E2C86"/>
    <w:multiLevelType w:val="hybridMultilevel"/>
    <w:tmpl w:val="FFE6C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685A06"/>
    <w:multiLevelType w:val="hybridMultilevel"/>
    <w:tmpl w:val="CC9C1750"/>
    <w:lvl w:ilvl="0" w:tplc="2A346CE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 w15:restartNumberingAfterBreak="0">
    <w:nsid w:val="3BF14C22"/>
    <w:multiLevelType w:val="hybridMultilevel"/>
    <w:tmpl w:val="2DCA0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715C36"/>
    <w:multiLevelType w:val="hybridMultilevel"/>
    <w:tmpl w:val="5DB2F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9677DC2"/>
    <w:multiLevelType w:val="hybridMultilevel"/>
    <w:tmpl w:val="98BE263C"/>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A90A55"/>
    <w:multiLevelType w:val="hybridMultilevel"/>
    <w:tmpl w:val="248EE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1A21914"/>
    <w:multiLevelType w:val="hybridMultilevel"/>
    <w:tmpl w:val="702E1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34804880">
    <w:abstractNumId w:val="4"/>
  </w:num>
  <w:num w:numId="2" w16cid:durableId="201329623">
    <w:abstractNumId w:val="7"/>
  </w:num>
  <w:num w:numId="3" w16cid:durableId="166333617">
    <w:abstractNumId w:val="1"/>
  </w:num>
  <w:num w:numId="4" w16cid:durableId="1025134124">
    <w:abstractNumId w:val="5"/>
  </w:num>
  <w:num w:numId="5" w16cid:durableId="1305043337">
    <w:abstractNumId w:val="0"/>
  </w:num>
  <w:num w:numId="6" w16cid:durableId="1623533036">
    <w:abstractNumId w:val="2"/>
  </w:num>
  <w:num w:numId="7" w16cid:durableId="757335415">
    <w:abstractNumId w:val="6"/>
  </w:num>
  <w:num w:numId="8" w16cid:durableId="1491019113">
    <w:abstractNumId w:val="8"/>
  </w:num>
  <w:num w:numId="9" w16cid:durableId="692078993">
    <w:abstractNumId w:val="9"/>
  </w:num>
  <w:num w:numId="10" w16cid:durableId="332300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25"/>
    <w:rsid w:val="000046F0"/>
    <w:rsid w:val="00023067"/>
    <w:rsid w:val="000363E0"/>
    <w:rsid w:val="00040B2D"/>
    <w:rsid w:val="000663A8"/>
    <w:rsid w:val="00077509"/>
    <w:rsid w:val="00094D9B"/>
    <w:rsid w:val="000B0B1F"/>
    <w:rsid w:val="000B7AE8"/>
    <w:rsid w:val="00100E46"/>
    <w:rsid w:val="00124057"/>
    <w:rsid w:val="0012765E"/>
    <w:rsid w:val="00137A5D"/>
    <w:rsid w:val="001404CF"/>
    <w:rsid w:val="0016483D"/>
    <w:rsid w:val="001663DE"/>
    <w:rsid w:val="00171CF4"/>
    <w:rsid w:val="00172B20"/>
    <w:rsid w:val="001734DC"/>
    <w:rsid w:val="001B2935"/>
    <w:rsid w:val="001C00C4"/>
    <w:rsid w:val="001E5BC8"/>
    <w:rsid w:val="001F6185"/>
    <w:rsid w:val="001F75E0"/>
    <w:rsid w:val="0020378B"/>
    <w:rsid w:val="0027577A"/>
    <w:rsid w:val="00287F7A"/>
    <w:rsid w:val="002B08BD"/>
    <w:rsid w:val="002F4680"/>
    <w:rsid w:val="00305666"/>
    <w:rsid w:val="00365711"/>
    <w:rsid w:val="00371704"/>
    <w:rsid w:val="003D3F0F"/>
    <w:rsid w:val="003E35DD"/>
    <w:rsid w:val="003F4184"/>
    <w:rsid w:val="00401519"/>
    <w:rsid w:val="004866AA"/>
    <w:rsid w:val="00494032"/>
    <w:rsid w:val="004B313B"/>
    <w:rsid w:val="004C3B15"/>
    <w:rsid w:val="004F58EE"/>
    <w:rsid w:val="0052093D"/>
    <w:rsid w:val="005542C6"/>
    <w:rsid w:val="005546E6"/>
    <w:rsid w:val="00562301"/>
    <w:rsid w:val="00576DE8"/>
    <w:rsid w:val="005B6B3A"/>
    <w:rsid w:val="005E119E"/>
    <w:rsid w:val="005E5272"/>
    <w:rsid w:val="00622BD8"/>
    <w:rsid w:val="00667D5C"/>
    <w:rsid w:val="00683337"/>
    <w:rsid w:val="006A19C2"/>
    <w:rsid w:val="006B1125"/>
    <w:rsid w:val="006C4C7A"/>
    <w:rsid w:val="00707D29"/>
    <w:rsid w:val="00771ABE"/>
    <w:rsid w:val="00784D02"/>
    <w:rsid w:val="007C7130"/>
    <w:rsid w:val="007D3CEF"/>
    <w:rsid w:val="007D7BBE"/>
    <w:rsid w:val="007E035F"/>
    <w:rsid w:val="007E4582"/>
    <w:rsid w:val="00812181"/>
    <w:rsid w:val="008A7AD2"/>
    <w:rsid w:val="008B6E14"/>
    <w:rsid w:val="008E19E4"/>
    <w:rsid w:val="009101FD"/>
    <w:rsid w:val="00913350"/>
    <w:rsid w:val="00927878"/>
    <w:rsid w:val="0094526D"/>
    <w:rsid w:val="009563CD"/>
    <w:rsid w:val="00987A4B"/>
    <w:rsid w:val="009D2202"/>
    <w:rsid w:val="00A0469B"/>
    <w:rsid w:val="00A223DB"/>
    <w:rsid w:val="00A25C27"/>
    <w:rsid w:val="00A757C2"/>
    <w:rsid w:val="00AB265D"/>
    <w:rsid w:val="00B05D1C"/>
    <w:rsid w:val="00B55FB9"/>
    <w:rsid w:val="00B63729"/>
    <w:rsid w:val="00B6538C"/>
    <w:rsid w:val="00B92C90"/>
    <w:rsid w:val="00BA5A50"/>
    <w:rsid w:val="00BB349B"/>
    <w:rsid w:val="00BD76FF"/>
    <w:rsid w:val="00BF5B0D"/>
    <w:rsid w:val="00C01C8C"/>
    <w:rsid w:val="00C45585"/>
    <w:rsid w:val="00C475AE"/>
    <w:rsid w:val="00C47A28"/>
    <w:rsid w:val="00C97825"/>
    <w:rsid w:val="00CA16EB"/>
    <w:rsid w:val="00CB1FE3"/>
    <w:rsid w:val="00CB3D23"/>
    <w:rsid w:val="00CB6A0E"/>
    <w:rsid w:val="00D15C10"/>
    <w:rsid w:val="00D24DED"/>
    <w:rsid w:val="00D453CC"/>
    <w:rsid w:val="00D52A59"/>
    <w:rsid w:val="00D70332"/>
    <w:rsid w:val="00DA52C3"/>
    <w:rsid w:val="00DC640A"/>
    <w:rsid w:val="00E00F61"/>
    <w:rsid w:val="00E22DD9"/>
    <w:rsid w:val="00E30E33"/>
    <w:rsid w:val="00E4178A"/>
    <w:rsid w:val="00EB076D"/>
    <w:rsid w:val="00ED5126"/>
    <w:rsid w:val="00EF50A0"/>
    <w:rsid w:val="00F13E62"/>
    <w:rsid w:val="00F175FD"/>
    <w:rsid w:val="00F408DA"/>
    <w:rsid w:val="00F45297"/>
    <w:rsid w:val="00F72274"/>
    <w:rsid w:val="00F958D7"/>
    <w:rsid w:val="00FA36F1"/>
    <w:rsid w:val="00FB4439"/>
    <w:rsid w:val="00FB7A19"/>
    <w:rsid w:val="00FD36B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B1BF"/>
  <w15:chartTrackingRefBased/>
  <w15:docId w15:val="{72B370D3-3FE7-4B50-8215-4DECBE79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C97825"/>
    <w:pPr>
      <w:widowControl w:val="0"/>
      <w:suppressAutoHyphens/>
      <w:overflowPunct w:val="0"/>
      <w:spacing w:after="0" w:line="360" w:lineRule="auto"/>
      <w:ind w:left="720"/>
      <w:jc w:val="both"/>
      <w:textAlignment w:val="baseline"/>
    </w:pPr>
    <w:rPr>
      <w:rFonts w:ascii="Times New Roman" w:eastAsia="Andale Sans UI" w:hAnsi="Times New Roman" w:cs="Tahoma"/>
      <w:color w:val="00000A"/>
      <w:kern w:val="0"/>
      <w:sz w:val="24"/>
      <w:szCs w:val="24"/>
      <w:lang w:val="de-DE" w:eastAsia="ar-SA" w:bidi="fa-IR"/>
      <w14:ligatures w14:val="none"/>
    </w:rPr>
  </w:style>
  <w:style w:type="character" w:styleId="Hipercze">
    <w:name w:val="Hyperlink"/>
    <w:basedOn w:val="Domylnaczcionkaakapitu"/>
    <w:uiPriority w:val="99"/>
    <w:unhideWhenUsed/>
    <w:rsid w:val="007C7130"/>
    <w:rPr>
      <w:color w:val="0563C1" w:themeColor="hyperlink"/>
      <w:u w:val="single"/>
    </w:rPr>
  </w:style>
  <w:style w:type="character" w:styleId="Nierozpoznanawzmianka">
    <w:name w:val="Unresolved Mention"/>
    <w:basedOn w:val="Domylnaczcionkaakapitu"/>
    <w:uiPriority w:val="99"/>
    <w:semiHidden/>
    <w:unhideWhenUsed/>
    <w:rsid w:val="007C7130"/>
    <w:rPr>
      <w:color w:val="605E5C"/>
      <w:shd w:val="clear" w:color="auto" w:fill="E1DFDD"/>
    </w:rPr>
  </w:style>
  <w:style w:type="paragraph" w:styleId="Akapitzlist">
    <w:name w:val="List Paragraph"/>
    <w:aliases w:val="Numerowanie,Obiekt,List Paragraph1,wypunktowanie"/>
    <w:basedOn w:val="Normalny"/>
    <w:link w:val="AkapitzlistZnak"/>
    <w:uiPriority w:val="34"/>
    <w:qFormat/>
    <w:rsid w:val="00C47A28"/>
    <w:pPr>
      <w:widowControl w:val="0"/>
      <w:suppressAutoHyphens/>
      <w:overflowPunct w:val="0"/>
      <w:spacing w:after="0" w:line="360" w:lineRule="auto"/>
      <w:ind w:left="720"/>
      <w:contextualSpacing/>
      <w:jc w:val="both"/>
      <w:textAlignment w:val="baseline"/>
    </w:pPr>
    <w:rPr>
      <w:rFonts w:ascii="Times New Roman" w:eastAsia="Andale Sans UI" w:hAnsi="Times New Roman" w:cs="Tahoma"/>
      <w:color w:val="00000A"/>
      <w:kern w:val="0"/>
      <w:sz w:val="24"/>
      <w:szCs w:val="24"/>
      <w:lang w:val="de-DE" w:eastAsia="ja-JP" w:bidi="fa-IR"/>
      <w14:ligatures w14:val="none"/>
    </w:rPr>
  </w:style>
  <w:style w:type="character" w:customStyle="1" w:styleId="AkapitzlistZnak">
    <w:name w:val="Akapit z listą Znak"/>
    <w:aliases w:val="Numerowanie Znak,Obiekt Znak,List Paragraph1 Znak,wypunktowanie Znak"/>
    <w:link w:val="Akapitzlist"/>
    <w:uiPriority w:val="34"/>
    <w:qFormat/>
    <w:locked/>
    <w:rsid w:val="00C47A28"/>
    <w:rPr>
      <w:rFonts w:ascii="Times New Roman" w:eastAsia="Andale Sans UI" w:hAnsi="Times New Roman" w:cs="Tahoma"/>
      <w:color w:val="00000A"/>
      <w:kern w:val="0"/>
      <w:sz w:val="24"/>
      <w:szCs w:val="24"/>
      <w:lang w:val="de-DE" w:eastAsia="ja-JP" w:bidi="fa-IR"/>
      <w14:ligatures w14:val="none"/>
    </w:rPr>
  </w:style>
  <w:style w:type="table" w:styleId="Tabela-Siatka">
    <w:name w:val="Table Grid"/>
    <w:basedOn w:val="Standardowy"/>
    <w:uiPriority w:val="39"/>
    <w:rsid w:val="001F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D3F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3F0F"/>
  </w:style>
  <w:style w:type="paragraph" w:styleId="Stopka">
    <w:name w:val="footer"/>
    <w:basedOn w:val="Normalny"/>
    <w:link w:val="StopkaZnak"/>
    <w:uiPriority w:val="99"/>
    <w:unhideWhenUsed/>
    <w:rsid w:val="003D3F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3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2383">
      <w:bodyDiv w:val="1"/>
      <w:marLeft w:val="0"/>
      <w:marRight w:val="0"/>
      <w:marTop w:val="0"/>
      <w:marBottom w:val="0"/>
      <w:divBdr>
        <w:top w:val="none" w:sz="0" w:space="0" w:color="auto"/>
        <w:left w:val="none" w:sz="0" w:space="0" w:color="auto"/>
        <w:bottom w:val="none" w:sz="0" w:space="0" w:color="auto"/>
        <w:right w:val="none" w:sz="0" w:space="0" w:color="auto"/>
      </w:divBdr>
      <w:divsChild>
        <w:div w:id="1484006974">
          <w:marLeft w:val="0"/>
          <w:marRight w:val="0"/>
          <w:marTop w:val="0"/>
          <w:marBottom w:val="0"/>
          <w:divBdr>
            <w:top w:val="none" w:sz="0" w:space="0" w:color="auto"/>
            <w:left w:val="none" w:sz="0" w:space="0" w:color="auto"/>
            <w:bottom w:val="none" w:sz="0" w:space="0" w:color="auto"/>
            <w:right w:val="none" w:sz="0" w:space="0" w:color="auto"/>
          </w:divBdr>
          <w:divsChild>
            <w:div w:id="1532959531">
              <w:marLeft w:val="0"/>
              <w:marRight w:val="0"/>
              <w:marTop w:val="0"/>
              <w:marBottom w:val="0"/>
              <w:divBdr>
                <w:top w:val="none" w:sz="0" w:space="0" w:color="auto"/>
                <w:left w:val="none" w:sz="0" w:space="0" w:color="auto"/>
                <w:bottom w:val="none" w:sz="0" w:space="0" w:color="auto"/>
                <w:right w:val="none" w:sz="0" w:space="0" w:color="auto"/>
              </w:divBdr>
            </w:div>
          </w:divsChild>
        </w:div>
        <w:div w:id="1011417151">
          <w:marLeft w:val="0"/>
          <w:marRight w:val="0"/>
          <w:marTop w:val="0"/>
          <w:marBottom w:val="0"/>
          <w:divBdr>
            <w:top w:val="none" w:sz="0" w:space="0" w:color="auto"/>
            <w:left w:val="none" w:sz="0" w:space="0" w:color="auto"/>
            <w:bottom w:val="none" w:sz="0" w:space="0" w:color="auto"/>
            <w:right w:val="none" w:sz="0" w:space="0" w:color="auto"/>
          </w:divBdr>
          <w:divsChild>
            <w:div w:id="7051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5774">
      <w:bodyDiv w:val="1"/>
      <w:marLeft w:val="0"/>
      <w:marRight w:val="0"/>
      <w:marTop w:val="0"/>
      <w:marBottom w:val="0"/>
      <w:divBdr>
        <w:top w:val="none" w:sz="0" w:space="0" w:color="auto"/>
        <w:left w:val="none" w:sz="0" w:space="0" w:color="auto"/>
        <w:bottom w:val="none" w:sz="0" w:space="0" w:color="auto"/>
        <w:right w:val="none" w:sz="0" w:space="0" w:color="auto"/>
      </w:divBdr>
    </w:div>
    <w:div w:id="1931623335">
      <w:bodyDiv w:val="1"/>
      <w:marLeft w:val="0"/>
      <w:marRight w:val="0"/>
      <w:marTop w:val="0"/>
      <w:marBottom w:val="0"/>
      <w:divBdr>
        <w:top w:val="none" w:sz="0" w:space="0" w:color="auto"/>
        <w:left w:val="none" w:sz="0" w:space="0" w:color="auto"/>
        <w:bottom w:val="none" w:sz="0" w:space="0" w:color="auto"/>
        <w:right w:val="none" w:sz="0" w:space="0" w:color="auto"/>
      </w:divBdr>
      <w:divsChild>
        <w:div w:id="1534685614">
          <w:marLeft w:val="0"/>
          <w:marRight w:val="0"/>
          <w:marTop w:val="0"/>
          <w:marBottom w:val="0"/>
          <w:divBdr>
            <w:top w:val="none" w:sz="0" w:space="0" w:color="auto"/>
            <w:left w:val="none" w:sz="0" w:space="0" w:color="auto"/>
            <w:bottom w:val="none" w:sz="0" w:space="0" w:color="auto"/>
            <w:right w:val="none" w:sz="0" w:space="0" w:color="auto"/>
          </w:divBdr>
          <w:divsChild>
            <w:div w:id="191237186">
              <w:marLeft w:val="0"/>
              <w:marRight w:val="0"/>
              <w:marTop w:val="0"/>
              <w:marBottom w:val="0"/>
              <w:divBdr>
                <w:top w:val="none" w:sz="0" w:space="0" w:color="auto"/>
                <w:left w:val="none" w:sz="0" w:space="0" w:color="auto"/>
                <w:bottom w:val="none" w:sz="0" w:space="0" w:color="auto"/>
                <w:right w:val="none" w:sz="0" w:space="0" w:color="auto"/>
              </w:divBdr>
            </w:div>
          </w:divsChild>
        </w:div>
        <w:div w:id="868491296">
          <w:marLeft w:val="0"/>
          <w:marRight w:val="0"/>
          <w:marTop w:val="0"/>
          <w:marBottom w:val="0"/>
          <w:divBdr>
            <w:top w:val="none" w:sz="0" w:space="0" w:color="auto"/>
            <w:left w:val="none" w:sz="0" w:space="0" w:color="auto"/>
            <w:bottom w:val="none" w:sz="0" w:space="0" w:color="auto"/>
            <w:right w:val="none" w:sz="0" w:space="0" w:color="auto"/>
          </w:divBdr>
          <w:divsChild>
            <w:div w:id="13349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8</Pages>
  <Words>2763</Words>
  <Characters>16579</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Szymańska</dc:creator>
  <cp:keywords/>
  <dc:description/>
  <cp:lastModifiedBy>Agnieszka Szymańska</cp:lastModifiedBy>
  <cp:revision>30</cp:revision>
  <dcterms:created xsi:type="dcterms:W3CDTF">2024-03-12T11:00:00Z</dcterms:created>
  <dcterms:modified xsi:type="dcterms:W3CDTF">2024-05-10T10:22:00Z</dcterms:modified>
</cp:coreProperties>
</file>