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Załącznik Nr </w:t>
      </w:r>
      <w:r>
        <w:rPr>
          <w:rFonts w:ascii="Arial" w:hAnsi="Arial" w:cs="Arial"/>
          <w:b/>
          <w:color w:val="2E2014"/>
          <w:sz w:val="12"/>
          <w:szCs w:val="12"/>
        </w:rPr>
        <w:t>3</w:t>
      </w:r>
    </w:p>
    <w:p w:rsidR="009164A5" w:rsidRPr="00D44F63" w:rsidRDefault="00D44F63" w:rsidP="009164A5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do Zarządzenia Nr </w:t>
      </w:r>
      <w:r w:rsidR="008C2456">
        <w:rPr>
          <w:rFonts w:ascii="Arial" w:hAnsi="Arial" w:cs="Arial"/>
          <w:b/>
          <w:color w:val="2E2014"/>
          <w:sz w:val="12"/>
          <w:szCs w:val="12"/>
        </w:rPr>
        <w:t>0050/</w:t>
      </w:r>
      <w:r w:rsidR="00F45A81">
        <w:rPr>
          <w:rFonts w:ascii="Arial" w:hAnsi="Arial" w:cs="Arial"/>
          <w:b/>
          <w:color w:val="2E2014"/>
          <w:sz w:val="12"/>
          <w:szCs w:val="12"/>
        </w:rPr>
        <w:t>105</w:t>
      </w:r>
      <w:r w:rsidR="008C2456">
        <w:rPr>
          <w:rFonts w:ascii="Arial" w:hAnsi="Arial" w:cs="Arial"/>
          <w:b/>
          <w:color w:val="2E2014"/>
          <w:sz w:val="12"/>
          <w:szCs w:val="12"/>
        </w:rPr>
        <w:t>/2</w:t>
      </w:r>
      <w:r w:rsidR="009164A5">
        <w:rPr>
          <w:rFonts w:ascii="Arial" w:hAnsi="Arial" w:cs="Arial"/>
          <w:b/>
          <w:color w:val="2E2014"/>
          <w:sz w:val="12"/>
          <w:szCs w:val="12"/>
        </w:rPr>
        <w:t>3</w:t>
      </w:r>
    </w:p>
    <w:p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>Prezydenta Miasta Tychy</w:t>
      </w:r>
    </w:p>
    <w:p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 dnia </w:t>
      </w:r>
      <w:r w:rsidR="00E6662E">
        <w:rPr>
          <w:rFonts w:ascii="Arial" w:hAnsi="Arial" w:cs="Arial"/>
          <w:b/>
          <w:color w:val="2E2014"/>
          <w:sz w:val="12"/>
          <w:szCs w:val="12"/>
        </w:rPr>
        <w:t>24</w:t>
      </w:r>
      <w:r w:rsidR="008C2456">
        <w:rPr>
          <w:rFonts w:ascii="Arial" w:hAnsi="Arial" w:cs="Arial"/>
          <w:b/>
          <w:color w:val="2E2014"/>
          <w:sz w:val="12"/>
          <w:szCs w:val="12"/>
        </w:rPr>
        <w:t xml:space="preserve"> marca </w:t>
      </w:r>
      <w:r w:rsidR="00A63EE6">
        <w:rPr>
          <w:rFonts w:ascii="Arial" w:hAnsi="Arial" w:cs="Arial"/>
          <w:b/>
          <w:color w:val="2E2014"/>
          <w:sz w:val="12"/>
          <w:szCs w:val="12"/>
        </w:rPr>
        <w:t>202</w:t>
      </w:r>
      <w:r w:rsidR="009164A5">
        <w:rPr>
          <w:rFonts w:ascii="Arial" w:hAnsi="Arial" w:cs="Arial"/>
          <w:b/>
          <w:color w:val="2E2014"/>
          <w:sz w:val="12"/>
          <w:szCs w:val="12"/>
        </w:rPr>
        <w:t>3</w:t>
      </w:r>
    </w:p>
    <w:p w:rsidR="00044C0C" w:rsidRPr="00035F99" w:rsidRDefault="00155AE2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b/>
          <w:color w:val="2E2014"/>
          <w:sz w:val="22"/>
          <w:szCs w:val="22"/>
        </w:rPr>
      </w:pPr>
      <w:r w:rsidRPr="00035F99">
        <w:rPr>
          <w:rFonts w:ascii="Arial" w:hAnsi="Arial" w:cs="Arial"/>
          <w:b/>
          <w:color w:val="2E2014"/>
          <w:sz w:val="22"/>
          <w:szCs w:val="22"/>
        </w:rPr>
        <w:t>INFORMACJA DODATKOWA</w:t>
      </w:r>
      <w:r w:rsidR="008669EF" w:rsidRPr="00035F99">
        <w:rPr>
          <w:rFonts w:ascii="Arial" w:hAnsi="Arial" w:cs="Arial"/>
          <w:b/>
          <w:color w:val="2E2014"/>
          <w:sz w:val="22"/>
          <w:szCs w:val="22"/>
        </w:rPr>
        <w:t xml:space="preserve"> </w:t>
      </w:r>
    </w:p>
    <w:p w:rsidR="00922A6A" w:rsidRPr="00035F99" w:rsidRDefault="00922A6A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9214"/>
      </w:tblGrid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10FB" w:rsidRPr="00035F99" w:rsidRDefault="005E10FB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Teatr Mały w Tychach jest samorządową instytucją kultury działającą od 1 stycznia 2000 roku na podstawie Uchwały Nr 360/99 Rady Miasta Tychy z dnia 16.12.1999 roku i jest wpisany do Rejestru Instytucji Kultury prowadzonego przez UM Tychy pod numerem 3/99. Instytucja kultury działa na podstawie Statutu nadanego Uchwałą Rady Miasta Nr 0150/361/99 z dnia 16 grudnia 1999 r., t. j. ogłoszony na podstawie Uchwały Nr IV/41/15 z dnia 29 stycznia 2015</w:t>
            </w:r>
            <w:r w:rsidR="00E65B8B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r.</w:t>
            </w:r>
          </w:p>
          <w:p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Podstawowym przedmiotem działalności Teatru jest zaspokajanie wspólnoty gminnej poprzez tworzenie i upowszechnianie kultury między innymi poprzez tworzenie autorskiego repertuaru własnego i prowadzenie impresariatu artystycznego.</w:t>
            </w:r>
          </w:p>
          <w:p w:rsidR="005E10FB" w:rsidRPr="00035F99" w:rsidRDefault="002A24A0" w:rsidP="005E10FB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W ramach struktury organizacyjnej Teatru funkcjonuje Miejska Galeria Sztuki OBOK oraz Pasaż Kultury Andromeda. Teatr wspiera także zespoły amatorskie funkcjonujące w ramach placówek oświatowych Miasta Tychy i rokrocznie uczestniczy w organizacji przeglądów i</w:t>
            </w:r>
            <w:r w:rsidR="00E65B8B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konkursów jako partner projektów.</w:t>
            </w:r>
          </w:p>
          <w:p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działalności.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2A24A0" w:rsidP="00E579F1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Teatr Mały w Tychach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43-100 Tychy, 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>ul. Ks. kard. Augusta Hlonda 1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43-100 Tychy,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 xml:space="preserve"> ul. Ks. kard. Augusta Hlonda 1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Działalność związana z wystawianiem przedstawień artystycznych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7F04" w:rsidRPr="00035F99" w:rsidRDefault="00155AE2" w:rsidP="00837F04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525E12" w:rsidRPr="00035F99">
              <w:rPr>
                <w:rFonts w:ascii="Arial" w:hAnsi="Arial" w:cs="Arial"/>
                <w:sz w:val="22"/>
                <w:szCs w:val="22"/>
              </w:rPr>
              <w:t>stycznia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9C0801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525E12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– 31 grud</w:t>
            </w:r>
            <w:r w:rsidR="008553EA" w:rsidRPr="00035F99">
              <w:rPr>
                <w:rFonts w:ascii="Arial" w:hAnsi="Arial" w:cs="Arial"/>
                <w:sz w:val="22"/>
                <w:szCs w:val="22"/>
              </w:rPr>
              <w:t>nia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E232DD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525E12" w:rsidRPr="00035F99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10FB" w:rsidRPr="00035F99" w:rsidRDefault="005E10FB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Sprawozdanie sporządza w wersji pełnej wykazując w nim składniki aktywów </w:t>
            </w:r>
            <w:r w:rsidRPr="00035F99">
              <w:rPr>
                <w:rFonts w:ascii="Arial" w:hAnsi="Arial" w:cs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:rsidR="002A24A0" w:rsidRPr="00035F99" w:rsidRDefault="002A24A0" w:rsidP="002A24A0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035F99"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środki trwałe oraz wartości niematerialne i prawne wg cen nabycia lub kosztu w</w:t>
            </w:r>
            <w:r w:rsidRPr="00035F99">
              <w:rPr>
                <w:rFonts w:ascii="Arial" w:hAnsi="Arial" w:cs="Arial"/>
                <w:sz w:val="22"/>
                <w:szCs w:val="22"/>
              </w:rPr>
              <w:t>y</w:t>
            </w:r>
            <w:r w:rsidRPr="00035F99">
              <w:rPr>
                <w:rFonts w:ascii="Arial" w:hAnsi="Arial" w:cs="Arial"/>
                <w:sz w:val="22"/>
                <w:szCs w:val="22"/>
              </w:rPr>
              <w:t>tworzenia, lub wartości przeszacowanej (po aktualizacji wyceny przeprowadzonej zgodnie z odrębnymi przepisami) w wartości początkowej pomniejszonych o odpisy am</w:t>
            </w:r>
            <w:r w:rsidR="00E65B8B">
              <w:rPr>
                <w:rFonts w:ascii="Arial" w:hAnsi="Arial" w:cs="Arial"/>
                <w:sz w:val="22"/>
                <w:szCs w:val="22"/>
              </w:rPr>
              <w:t>or</w:t>
            </w:r>
            <w:r w:rsidRPr="00035F99">
              <w:rPr>
                <w:rFonts w:ascii="Arial" w:hAnsi="Arial" w:cs="Arial"/>
                <w:sz w:val="22"/>
                <w:szCs w:val="22"/>
              </w:rPr>
              <w:t>tyzacyjne lub umorzeniowe, a także o odpisy z tytułu trwałej utraty wartości z uwzględnieniem przepisów art. 31, art. 32 ust. 1-5 i art. 33 ust. 1 lub wg ceny ry</w:t>
            </w:r>
            <w:r w:rsidRPr="00035F99">
              <w:rPr>
                <w:rFonts w:ascii="Arial" w:hAnsi="Arial" w:cs="Arial"/>
                <w:sz w:val="22"/>
                <w:szCs w:val="22"/>
              </w:rPr>
              <w:t>n</w:t>
            </w:r>
            <w:r w:rsidRPr="00035F99">
              <w:rPr>
                <w:rFonts w:ascii="Arial" w:hAnsi="Arial" w:cs="Arial"/>
                <w:sz w:val="22"/>
                <w:szCs w:val="22"/>
              </w:rPr>
              <w:t>kowej; nie umarza się gruntów i dóbr kultury;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inwestycje (środki trwałe w budowie) w wysokości ogółu poniesionych kosztów p</w:t>
            </w:r>
            <w:r w:rsidRPr="00035F99">
              <w:rPr>
                <w:rFonts w:ascii="Arial" w:hAnsi="Arial" w:cs="Arial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sz w:val="22"/>
                <w:szCs w:val="22"/>
              </w:rPr>
              <w:t>zostających w bezpośrednim związku z ich nabyciem lub wytworzeniem pomnie</w:t>
            </w:r>
            <w:r w:rsidRPr="00035F99">
              <w:rPr>
                <w:rFonts w:ascii="Arial" w:hAnsi="Arial" w:cs="Arial"/>
                <w:sz w:val="22"/>
                <w:szCs w:val="22"/>
              </w:rPr>
              <w:t>j</w:t>
            </w:r>
            <w:r w:rsidRPr="00035F99">
              <w:rPr>
                <w:rFonts w:ascii="Arial" w:hAnsi="Arial" w:cs="Arial"/>
                <w:sz w:val="22"/>
                <w:szCs w:val="22"/>
              </w:rPr>
              <w:t>szone o odpisy z tytułu trwałej utraty wartości;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lastRenderedPageBreak/>
              <w:t>rzeczowe składniki aktywów obrotowych wg cen nabycia lub kosztów wytworzenia nie wyższych od cen ich sprzedaży netto na dzień bilansowy; do bilansu wycenia się wg wartości wynikającej z ewidencji; w jednostkach, które prowadzą ewidencję zapasów wg cen ewidencyjnych i ewidencjonują odchylenia od cen zakupu, nabycia lub sprzedaży wartość zapasów na dzień bilansowy korygują odpowiednio o wartość odchyleń;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należności w kwocie wymaganej zapłaty; jeżeli jednostka dokonała odpisów aktual</w:t>
            </w:r>
            <w:r w:rsidRPr="00035F99">
              <w:rPr>
                <w:rFonts w:ascii="Arial" w:hAnsi="Arial" w:cs="Arial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sz w:val="22"/>
                <w:szCs w:val="22"/>
              </w:rPr>
              <w:t>zacyjnych i wartość tych odpisów została ujęta na koncie 290, to należności wyc</w:t>
            </w:r>
            <w:r w:rsidRPr="00035F99">
              <w:rPr>
                <w:rFonts w:ascii="Arial" w:hAnsi="Arial" w:cs="Arial"/>
                <w:sz w:val="22"/>
                <w:szCs w:val="22"/>
              </w:rPr>
              <w:t>e</w:t>
            </w:r>
            <w:r w:rsidRPr="00035F99">
              <w:rPr>
                <w:rFonts w:ascii="Arial" w:hAnsi="Arial" w:cs="Arial"/>
                <w:sz w:val="22"/>
                <w:szCs w:val="22"/>
              </w:rPr>
              <w:t>nione na dzień bilansowy wykazuje się po pomniejszeniu o wartość odpisów;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zobowiązania w kwocie wymaganej zapłaty;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środki pieniężne wg wartości nominalnej;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fundusze oraz pozostałe aktywa i pasywa wycenia się wg wartości wynikającej z ewidencji księgowej.</w:t>
            </w:r>
          </w:p>
          <w:p w:rsidR="002A24A0" w:rsidRPr="00035F99" w:rsidRDefault="002A24A0" w:rsidP="002A24A0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zakupione składniki majątkowe trwałego użytku o przewidywanym okresie używania dłuższym niż rok i wartości początkowej poniżej 2.500 zł</w:t>
            </w:r>
            <w:r w:rsidR="00E436B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są zarachowywane w koszty i objęte ewidencją ilościową;</w:t>
            </w:r>
          </w:p>
          <w:p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nia w 100 % ich wartości początkowej</w:t>
            </w:r>
          </w:p>
          <w:p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środki trwałe o wartości powyżej 10.000 zł. są amortyzowane i umarzane na po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stawie miesięcznych odpisów przy zastosowaniu stawek umorzeniowych określ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nych w przepisach podatkowych; </w:t>
            </w:r>
          </w:p>
          <w:p w:rsidR="002A24A0" w:rsidRPr="00035F99" w:rsidRDefault="002A24A0" w:rsidP="002A24A0">
            <w:pPr>
              <w:pStyle w:val="Nagwek7"/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naliczone amortyzacja i umorzenie nie powodują zmian w funduszu jednostki.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szczegółowy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zakres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zmian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grup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rodzajowych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nabycia,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rozchodu,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przemieszczenia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wewnętrznego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końcowy,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amortyzowanego – podobne przedstawienie stanów i tytułów zmian dotychczasowej amortyzacji lub umorzenia</w:t>
            </w:r>
          </w:p>
        </w:tc>
      </w:tr>
      <w:tr w:rsidR="002A24A0" w:rsidRPr="00035F99" w:rsidTr="00D800E5">
        <w:trPr>
          <w:trHeight w:val="4188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78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2334"/>
              <w:gridCol w:w="1701"/>
              <w:gridCol w:w="1418"/>
              <w:gridCol w:w="1701"/>
              <w:gridCol w:w="1632"/>
            </w:tblGrid>
            <w:tr w:rsidR="002A24A0" w:rsidRPr="00E65B8B" w:rsidTr="009E0958">
              <w:trPr>
                <w:trHeight w:val="216"/>
                <w:jc w:val="center"/>
              </w:trPr>
              <w:tc>
                <w:tcPr>
                  <w:tcW w:w="2334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Wyszczególnienie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Stan na początek roku</w:t>
                  </w:r>
                </w:p>
              </w:tc>
              <w:tc>
                <w:tcPr>
                  <w:tcW w:w="3119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Zmiany w trakcie roku</w:t>
                  </w:r>
                </w:p>
              </w:tc>
              <w:tc>
                <w:tcPr>
                  <w:tcW w:w="163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33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Stan na koniec roku</w:t>
                  </w:r>
                </w:p>
              </w:tc>
            </w:tr>
            <w:tr w:rsidR="002A24A0" w:rsidRPr="00E65B8B" w:rsidTr="009E0958">
              <w:trPr>
                <w:trHeight w:val="173"/>
                <w:jc w:val="center"/>
              </w:trPr>
              <w:tc>
                <w:tcPr>
                  <w:tcW w:w="2334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40" w:right="4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Zwiększenia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Zmniejszenia</w:t>
                  </w:r>
                </w:p>
              </w:tc>
              <w:tc>
                <w:tcPr>
                  <w:tcW w:w="1632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120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1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16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96.811,46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96.811,46</w:t>
                  </w:r>
                </w:p>
              </w:tc>
            </w:tr>
            <w:tr w:rsidR="002A24A0" w:rsidRPr="00E65B8B" w:rsidTr="009E0958">
              <w:trPr>
                <w:trHeight w:val="13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32.270,49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9.681,15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41.951,64</w:t>
                  </w:r>
                </w:p>
              </w:tc>
            </w:tr>
            <w:tr w:rsidR="002A24A0" w:rsidRPr="00E65B8B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tabs>
                      <w:tab w:val="center" w:pos="795"/>
                      <w:tab w:val="right" w:pos="1449"/>
                    </w:tabs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ab/>
                    <w:t>64.540,97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54.859,82</w:t>
                  </w:r>
                </w:p>
              </w:tc>
            </w:tr>
            <w:tr w:rsidR="002A24A0" w:rsidRPr="00E65B8B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right="142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13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20.045,90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20.045,90</w:t>
                  </w:r>
                </w:p>
              </w:tc>
            </w:tr>
            <w:tr w:rsidR="002A24A0" w:rsidRPr="00E65B8B" w:rsidTr="009E0958">
              <w:trPr>
                <w:trHeight w:val="16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7.442,07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902,07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8.344,14</w:t>
                  </w:r>
                </w:p>
              </w:tc>
            </w:tr>
            <w:tr w:rsidR="002A24A0" w:rsidRPr="00E65B8B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12.603,83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11.701,76</w:t>
                  </w:r>
                </w:p>
              </w:tc>
            </w:tr>
            <w:tr w:rsidR="002A24A0" w:rsidRPr="00E65B8B" w:rsidTr="009E0958">
              <w:trPr>
                <w:trHeight w:val="22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285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213.578,98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13.632,39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227.211,37</w:t>
                  </w:r>
                </w:p>
              </w:tc>
            </w:tr>
            <w:tr w:rsidR="002A24A0" w:rsidRPr="00E65B8B" w:rsidTr="009E0958">
              <w:trPr>
                <w:trHeight w:val="224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213.578,98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340,81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213</w:t>
                  </w:r>
                  <w:r w:rsidR="00460E15" w:rsidRPr="00E65B8B">
                    <w:rPr>
                      <w:rFonts w:ascii="Arial" w:hAnsi="Arial"/>
                      <w:sz w:val="20"/>
                      <w:szCs w:val="20"/>
                    </w:rPr>
                    <w:t>.919,79</w:t>
                  </w:r>
                </w:p>
              </w:tc>
            </w:tr>
            <w:tr w:rsidR="002A24A0" w:rsidRPr="00E65B8B" w:rsidTr="009E0958">
              <w:trPr>
                <w:trHeight w:val="160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13.291,58</w:t>
                  </w:r>
                </w:p>
              </w:tc>
            </w:tr>
            <w:tr w:rsidR="002A24A0" w:rsidRPr="00E65B8B" w:rsidTr="009E0958">
              <w:trPr>
                <w:trHeight w:val="15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lastRenderedPageBreak/>
                    <w:t>Grupa 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10.939,43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10.939,43</w:t>
                  </w:r>
                </w:p>
              </w:tc>
            </w:tr>
            <w:tr w:rsidR="002A24A0" w:rsidRPr="00E65B8B" w:rsidTr="009E0958">
              <w:trPr>
                <w:trHeight w:val="15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9.444,38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1.495,05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10.939,43</w:t>
                  </w:r>
                </w:p>
              </w:tc>
            </w:tr>
            <w:tr w:rsidR="002A24A0" w:rsidRPr="00E65B8B" w:rsidTr="009E0958">
              <w:trPr>
                <w:trHeight w:val="237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1.495,05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408.354,13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408.354,13</w:t>
                  </w:r>
                </w:p>
              </w:tc>
            </w:tr>
            <w:tr w:rsidR="002A24A0" w:rsidRPr="00E65B8B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297.106,79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37.655,80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334.762,59</w:t>
                  </w:r>
                </w:p>
              </w:tc>
            </w:tr>
            <w:tr w:rsidR="002A24A0" w:rsidRPr="00E65B8B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111.247,34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73.591,54</w:t>
                  </w:r>
                </w:p>
              </w:tc>
            </w:tr>
            <w:tr w:rsidR="002A24A0" w:rsidRPr="00E65B8B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  <w:highlight w:val="yellow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8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2A24A0" w:rsidRPr="00E65B8B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1.429.042,96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55.777,61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1.484.720,57</w:t>
                  </w:r>
                </w:p>
              </w:tc>
            </w:tr>
            <w:tr w:rsidR="002A24A0" w:rsidRPr="00E65B8B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1.1</w:t>
                  </w:r>
                  <w:r w:rsidR="00460E15" w:rsidRPr="00E65B8B">
                    <w:rPr>
                      <w:rFonts w:ascii="Arial" w:hAnsi="Arial"/>
                      <w:sz w:val="20"/>
                      <w:szCs w:val="20"/>
                    </w:rPr>
                    <w:t>89.420,68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42.708,36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1.232.129,04</w:t>
                  </w:r>
                </w:p>
              </w:tc>
            </w:tr>
            <w:tr w:rsidR="002A24A0" w:rsidRPr="00E65B8B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239.622,28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252.691,53</w:t>
                  </w:r>
                </w:p>
              </w:tc>
            </w:tr>
            <w:tr w:rsidR="002A24A0" w:rsidRPr="00E65B8B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Wartości niematerialne i</w:t>
                  </w:r>
                  <w:r w:rsidR="00E65B8B"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 </w:t>
                  </w: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prawne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13.290,00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13.290,00</w:t>
                  </w:r>
                </w:p>
              </w:tc>
            </w:tr>
            <w:tr w:rsidR="002A24A0" w:rsidRPr="00E65B8B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13.290,00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13.290,00</w:t>
                  </w:r>
                </w:p>
              </w:tc>
            </w:tr>
            <w:tr w:rsidR="002A24A0" w:rsidRPr="00E65B8B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Dzieła sztuki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116.134,00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116.134,00</w:t>
                  </w:r>
                </w:p>
              </w:tc>
            </w:tr>
            <w:tr w:rsidR="002A24A0" w:rsidRPr="00E65B8B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  <w:p w:rsidR="002A24A0" w:rsidRPr="00E65B8B" w:rsidRDefault="002A24A0" w:rsidP="002A24A0">
                  <w:pPr>
                    <w:pStyle w:val="TableContents"/>
                    <w:ind w:right="142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116.134,00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116.134,00</w:t>
                  </w:r>
                </w:p>
              </w:tc>
            </w:tr>
          </w:tbl>
          <w:p w:rsidR="002A24A0" w:rsidRPr="00E65B8B" w:rsidRDefault="002A24A0" w:rsidP="002A24A0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aktualną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rynkową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dóbr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kultury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ile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dysponuje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takimi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informacjami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dokonanych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trakcie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odpisów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aktywów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odrębnie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 gruntów użytkowanych wieczyście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nieamortyzowanych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nieumarzanych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przez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jednostkę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używanych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liczbę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posiadanych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wartościowych,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akcji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udziałów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dłużnych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 wartościowych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 o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odpisach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 wartość należności, ze wskazaniem stanu na początek roku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stanie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rezerw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celu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ich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utworzenia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początek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zwiększeniach,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wykorzystaniu, rozwiązaniu i stanie końcowym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2A24A0" w:rsidRPr="00035F99" w:rsidTr="00611EBF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791"/>
              <w:gridCol w:w="1644"/>
            </w:tblGrid>
            <w:tr w:rsidR="002A24A0" w:rsidRPr="00E65B8B" w:rsidTr="00611EBF">
              <w:trPr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50.023,78</w:t>
                  </w:r>
                </w:p>
              </w:tc>
            </w:tr>
            <w:tr w:rsidR="002A24A0" w:rsidRPr="00E65B8B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podatków i ubezpieczeń społecznych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9,39</w:t>
                  </w:r>
                </w:p>
              </w:tc>
            </w:tr>
            <w:tr w:rsidR="002A24A0" w:rsidRPr="00E65B8B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wynagrodzeń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48,07</w:t>
                  </w:r>
                </w:p>
              </w:tc>
            </w:tr>
            <w:tr w:rsidR="002A24A0" w:rsidRPr="00E65B8B" w:rsidTr="00FF58E4">
              <w:trPr>
                <w:trHeight w:val="300"/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F58E4" w:rsidRPr="00E65B8B" w:rsidRDefault="00460E15" w:rsidP="00FF58E4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8.669,86</w:t>
                  </w:r>
                </w:p>
              </w:tc>
            </w:tr>
            <w:tr w:rsidR="00FF58E4" w:rsidRPr="00E65B8B" w:rsidTr="00FF58E4">
              <w:trPr>
                <w:trHeight w:val="105"/>
                <w:jc w:val="center"/>
              </w:trPr>
              <w:tc>
                <w:tcPr>
                  <w:tcW w:w="479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F58E4" w:rsidRPr="00E65B8B" w:rsidRDefault="00FF58E4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innych zobowiązań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F58E4" w:rsidRPr="00E65B8B" w:rsidRDefault="00FF58E4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</w:tbl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sytuacji,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gdy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kwalifikuje umowy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leasingu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zgodnie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="00E65B8B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przepisami podatkowymi (leasing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operacyjny),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przepisów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rachunkowości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byłby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to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finansowy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zwrotny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zabezpieczonych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jednostki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ze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wskazaniem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charakteru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formy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tych zabezpieczeń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 a zobowiązaniem zapłaty za nie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10FB" w:rsidRPr="00035F99" w:rsidRDefault="005E10FB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60E15" w:rsidRPr="00035F99" w:rsidRDefault="00460E15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Jako czynne rozliczenia międzyokresowe kosztów ujęto koszty 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>odnowienia domeny w</w:t>
            </w:r>
            <w:r w:rsidR="00E65B8B">
              <w:rPr>
                <w:rFonts w:ascii="Arial" w:hAnsi="Arial" w:cs="Arial"/>
                <w:sz w:val="22"/>
                <w:szCs w:val="22"/>
              </w:rPr>
              <w:t> 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>wysokości 107,46 zł.,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prowizji ze sprzedaży biletów wstępu w wysokości 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>261,13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zł., 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>druku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 wysokości 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>546,24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 zł., 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>odnowienia licencji w wy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sokości </w:t>
            </w:r>
            <w:r w:rsidR="00461A8F">
              <w:rPr>
                <w:rFonts w:ascii="Arial" w:hAnsi="Arial" w:cs="Arial"/>
                <w:sz w:val="22"/>
                <w:szCs w:val="22"/>
              </w:rPr>
              <w:t xml:space="preserve">1.122,36 </w:t>
            </w:r>
            <w:r w:rsidRPr="00035F99">
              <w:rPr>
                <w:rFonts w:ascii="Arial" w:hAnsi="Arial" w:cs="Arial"/>
                <w:sz w:val="22"/>
                <w:szCs w:val="22"/>
              </w:rPr>
              <w:t>zł.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 xml:space="preserve"> oraz kosztów </w:t>
            </w:r>
            <w:r w:rsidR="00461A8F">
              <w:rPr>
                <w:rFonts w:ascii="Arial" w:hAnsi="Arial" w:cs="Arial"/>
                <w:sz w:val="22"/>
                <w:szCs w:val="22"/>
              </w:rPr>
              <w:t xml:space="preserve">odnowienia certyfikatów 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 xml:space="preserve">wysokości </w:t>
            </w:r>
            <w:r w:rsidR="00461A8F">
              <w:rPr>
                <w:rFonts w:ascii="Arial" w:hAnsi="Arial" w:cs="Arial"/>
                <w:sz w:val="22"/>
                <w:szCs w:val="22"/>
              </w:rPr>
              <w:t>324,20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 xml:space="preserve"> zł.</w:t>
            </w:r>
          </w:p>
          <w:p w:rsidR="005E10FB" w:rsidRPr="00035F99" w:rsidRDefault="005E10FB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4A0" w:rsidRPr="00035F99" w:rsidRDefault="00460E15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Rozliczenia międzyokresowe długoterminowe przychodów to dotacje na zakupy inwestycyjne, które zgodnie z ustawą o rachunkowości zwiększają przychody w momencie odpisów amortyzacyjnych do wysokości tych odpisów w kwocie 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>259.687,95</w:t>
            </w:r>
            <w:r w:rsidRPr="00035F99">
              <w:rPr>
                <w:rFonts w:ascii="Arial" w:hAnsi="Arial" w:cs="Arial"/>
                <w:sz w:val="22"/>
                <w:szCs w:val="22"/>
              </w:rPr>
              <w:t> zł</w:t>
            </w:r>
            <w:r w:rsidR="00E436B9">
              <w:rPr>
                <w:rFonts w:ascii="Arial" w:hAnsi="Arial" w:cs="Arial"/>
                <w:sz w:val="22"/>
                <w:szCs w:val="22"/>
              </w:rPr>
              <w:t>.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oraz krótkoterminowe na kwotę 21.590,70 zł. z tytułu rozliczeń wpływu za bilety i 12.612,00 zł</w:t>
            </w:r>
            <w:r w:rsidR="00E436B9">
              <w:rPr>
                <w:rFonts w:ascii="Arial" w:hAnsi="Arial" w:cs="Arial"/>
                <w:sz w:val="22"/>
                <w:szCs w:val="22"/>
              </w:rPr>
              <w:t>.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</w:t>
            </w:r>
            <w:r w:rsidR="00E436B9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tytułu wynajmu sali widowiskowej oraz odpisów amortyzacyjnych w 2023 r. w kwocie 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 xml:space="preserve">97.826,00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zł. 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otrzymanych przez jednostkę gwarancji i poręczeń niewykazanych w bilansie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struktury przychodów ze sprzedaży</w:t>
            </w:r>
          </w:p>
        </w:tc>
      </w:tr>
      <w:tr w:rsidR="002A24A0" w:rsidRPr="00035F99" w:rsidTr="001A0CD7">
        <w:trPr>
          <w:trHeight w:val="2763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16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5352"/>
              <w:gridCol w:w="1813"/>
            </w:tblGrid>
            <w:tr w:rsidR="002A24A0" w:rsidRPr="00E65B8B" w:rsidTr="00E65B8B">
              <w:trPr>
                <w:jc w:val="center"/>
              </w:trPr>
              <w:tc>
                <w:tcPr>
                  <w:tcW w:w="53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Dotacja z Gminy Miasta Tychy</w:t>
                  </w:r>
                </w:p>
              </w:tc>
              <w:tc>
                <w:tcPr>
                  <w:tcW w:w="18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200C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3.310.872,94</w:t>
                  </w:r>
                </w:p>
              </w:tc>
            </w:tr>
            <w:tr w:rsidR="002A24A0" w:rsidRPr="00E65B8B" w:rsidTr="00E65B8B">
              <w:trPr>
                <w:trHeight w:val="330"/>
                <w:jc w:val="center"/>
              </w:trPr>
              <w:tc>
                <w:tcPr>
                  <w:tcW w:w="5352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Dotacja z Ministerstwa Kultury i Dziedzictwa Narodowego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F58E4" w:rsidRPr="00E65B8B" w:rsidRDefault="002200CB" w:rsidP="002200CB">
                  <w:pPr>
                    <w:pStyle w:val="TableContents"/>
                    <w:ind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133.700,00</w:t>
                  </w:r>
                </w:p>
              </w:tc>
            </w:tr>
            <w:tr w:rsidR="00FF58E4" w:rsidRPr="00E65B8B" w:rsidTr="00E65B8B">
              <w:trPr>
                <w:trHeight w:val="210"/>
                <w:jc w:val="center"/>
              </w:trPr>
              <w:tc>
                <w:tcPr>
                  <w:tcW w:w="535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F58E4" w:rsidRPr="00E65B8B" w:rsidRDefault="00FF58E4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Dotacja Narodowego Centrum Kultury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F58E4" w:rsidRPr="00E65B8B" w:rsidRDefault="002200C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16.000,00</w:t>
                  </w:r>
                </w:p>
              </w:tc>
            </w:tr>
            <w:tr w:rsidR="002A24A0" w:rsidRPr="00E65B8B" w:rsidTr="00E65B8B">
              <w:trPr>
                <w:trHeight w:val="150"/>
                <w:jc w:val="center"/>
              </w:trPr>
              <w:tc>
                <w:tcPr>
                  <w:tcW w:w="535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F58E4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 xml:space="preserve">Dotacja </w:t>
                  </w:r>
                  <w:r w:rsidR="002200CB" w:rsidRPr="00E65B8B">
                    <w:rPr>
                      <w:rFonts w:ascii="Arial" w:hAnsi="Arial"/>
                      <w:sz w:val="20"/>
                      <w:szCs w:val="20"/>
                    </w:rPr>
                    <w:t>Instytutu Teatralnego im. Zbigniewa Raszewskiego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200C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29.240,00</w:t>
                  </w:r>
                </w:p>
              </w:tc>
            </w:tr>
            <w:tr w:rsidR="002A24A0" w:rsidRPr="00E65B8B" w:rsidTr="00E65B8B">
              <w:trPr>
                <w:jc w:val="center"/>
              </w:trPr>
              <w:tc>
                <w:tcPr>
                  <w:tcW w:w="535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Przychody ze sprzedaży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200C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686.989,46</w:t>
                  </w:r>
                </w:p>
              </w:tc>
            </w:tr>
            <w:tr w:rsidR="002A24A0" w:rsidRPr="00E65B8B" w:rsidTr="00E65B8B">
              <w:trPr>
                <w:jc w:val="center"/>
              </w:trPr>
              <w:tc>
                <w:tcPr>
                  <w:tcW w:w="535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Pozostałe przychody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200C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11</w:t>
                  </w:r>
                  <w:r w:rsidR="005E10FB" w:rsidRPr="00E65B8B">
                    <w:rPr>
                      <w:rFonts w:ascii="Arial" w:hAnsi="Arial"/>
                      <w:sz w:val="20"/>
                      <w:szCs w:val="20"/>
                    </w:rPr>
                    <w:t>6</w:t>
                  </w:r>
                  <w:r w:rsidR="00B20149" w:rsidRPr="00E65B8B">
                    <w:rPr>
                      <w:rFonts w:ascii="Arial" w:hAnsi="Arial"/>
                      <w:sz w:val="20"/>
                      <w:szCs w:val="20"/>
                    </w:rPr>
                    <w:t>.</w:t>
                  </w:r>
                  <w:r w:rsidR="005E10FB" w:rsidRPr="00E65B8B">
                    <w:rPr>
                      <w:rFonts w:ascii="Arial" w:hAnsi="Arial"/>
                      <w:sz w:val="20"/>
                      <w:szCs w:val="20"/>
                    </w:rPr>
                    <w:t>805,09</w:t>
                  </w:r>
                </w:p>
              </w:tc>
            </w:tr>
          </w:tbl>
          <w:p w:rsidR="002A24A0" w:rsidRPr="00E65B8B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Przeciętne zatrudnienie w 202</w:t>
            </w:r>
            <w:r w:rsidR="002200CB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r. wyniosło </w:t>
            </w:r>
            <w:r w:rsidR="005E10FB" w:rsidRPr="00035F99">
              <w:rPr>
                <w:rFonts w:ascii="Arial" w:hAnsi="Arial" w:cs="Arial"/>
                <w:sz w:val="22"/>
                <w:szCs w:val="22"/>
              </w:rPr>
              <w:t>26,76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osób, co stanowi </w:t>
            </w:r>
            <w:r w:rsidR="005E10FB" w:rsidRPr="00035F99">
              <w:rPr>
                <w:rFonts w:ascii="Arial" w:hAnsi="Arial" w:cs="Arial"/>
                <w:sz w:val="22"/>
                <w:szCs w:val="22"/>
              </w:rPr>
              <w:t>24,17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etatu przeliczeniowego w tym: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Dyrekcja – </w:t>
            </w:r>
            <w:r w:rsidR="002200CB" w:rsidRPr="00035F99">
              <w:rPr>
                <w:rFonts w:ascii="Arial" w:hAnsi="Arial" w:cs="Arial"/>
                <w:sz w:val="22"/>
                <w:szCs w:val="22"/>
              </w:rPr>
              <w:t>1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osoby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Pracownicy merytoryczni – </w:t>
            </w:r>
            <w:r w:rsidR="005E10FB" w:rsidRPr="00035F99">
              <w:rPr>
                <w:rFonts w:ascii="Arial" w:hAnsi="Arial" w:cs="Arial"/>
                <w:sz w:val="22"/>
                <w:szCs w:val="22"/>
              </w:rPr>
              <w:t>10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osoby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Pracownicy administracyjni –  </w:t>
            </w:r>
            <w:r w:rsidR="005E10FB" w:rsidRPr="00035F99">
              <w:rPr>
                <w:rFonts w:ascii="Arial" w:hAnsi="Arial" w:cs="Arial"/>
                <w:sz w:val="22"/>
                <w:szCs w:val="22"/>
              </w:rPr>
              <w:t xml:space="preserve">4,76 </w:t>
            </w:r>
            <w:r w:rsidRPr="00035F99">
              <w:rPr>
                <w:rFonts w:ascii="Arial" w:hAnsi="Arial" w:cs="Arial"/>
                <w:sz w:val="22"/>
                <w:szCs w:val="22"/>
              </w:rPr>
              <w:t>osob</w:t>
            </w:r>
            <w:r w:rsidR="005E10FB" w:rsidRPr="00035F99">
              <w:rPr>
                <w:rFonts w:ascii="Arial" w:hAnsi="Arial" w:cs="Arial"/>
                <w:sz w:val="22"/>
                <w:szCs w:val="22"/>
              </w:rPr>
              <w:t>y</w:t>
            </w:r>
          </w:p>
          <w:p w:rsidR="005E10FB" w:rsidRPr="00035F99" w:rsidRDefault="005E10FB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Pracownicy gospodarczy – 11 osób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:rsidTr="00E436B9">
        <w:trPr>
          <w:trHeight w:val="50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wysokość odpisów aktualizujących wartość zapasów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poszczególnych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pozycji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przychodów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kosztów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nadzwyczajnej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które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wystąpiły incydentalnie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Zobowiązanie wobec Gminy Miasta Tychy z tytułu zwrotu dotacji w kwocie 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>110,06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 xml:space="preserve">, a także zobowiązanie wobec Ministerstwa Kultury i Dziedzictwa Narodowego z tytułu zwrotu niewykorzystanej dotacji w kwocie 8.300,00 zł. oraz odsetek od środków zgromadzonych na rachunku bankowym w kwocie 259,80 zł.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zaprezentowano w bilansie w poz. B.III.3.i. 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Zobowiązania wobec kontrahentów o okresie wymagalności do 12 miesięcy wynoszą 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>50.023,78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zł., które zaprezentowano w bilansie w poz. B.III.3.d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Pozycja B.III.3.g obejmuje zobowiązanie wobec Zakładu Ubezpieczeń Społecznych na kwotę 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>9,39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 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 xml:space="preserve">Zobowiązanie z list płac z tytułu dodatków nocnych i nadgodzin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w kwocie 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>48,07</w:t>
            </w:r>
            <w:r w:rsidR="00E65B8B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zł. zaprezentowano w bilansie w poz. B.III.3.h.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Należności 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 xml:space="preserve">z tytułu refaktur za media, zużycia energii elektrycznej, usług reklamowych, biletów wstępu </w:t>
            </w:r>
            <w:r w:rsidRPr="00035F99">
              <w:rPr>
                <w:rFonts w:ascii="Arial" w:hAnsi="Arial" w:cs="Arial"/>
                <w:sz w:val="22"/>
                <w:szCs w:val="22"/>
              </w:rPr>
              <w:t>wykazan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 bilansie w pozycji B.II.3.a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035F99">
              <w:rPr>
                <w:rFonts w:ascii="Arial" w:hAnsi="Arial" w:cs="Arial"/>
                <w:sz w:val="22"/>
                <w:szCs w:val="22"/>
              </w:rPr>
              <w:t>Należności od Urzędu Skarbowego z</w:t>
            </w:r>
            <w:r w:rsidR="00E65B8B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tytułu podatku VAT w kwocie 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>9.700,55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 wykazano w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bilansie w pozycji B.II.3.b.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 xml:space="preserve"> W pozycji B.II.3.c wykazano należności z tytułu 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podziału wpływów ze sprzedaż biletów wstępu, rabatu z tytułu transakcji DCC oraz odsetek od należności.</w:t>
            </w:r>
          </w:p>
          <w:p w:rsidR="00CE5916" w:rsidRPr="00035F99" w:rsidRDefault="00CE5916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E5916" w:rsidRPr="00035F99" w:rsidRDefault="00CE5916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W pozycji A.II.1.c wykazano wartość środków trwałych z grupy 6, która wcześniej wykazywana była w pozycji A.II.1.e.</w:t>
            </w:r>
          </w:p>
          <w:p w:rsidR="002A24A0" w:rsidRPr="00035F99" w:rsidRDefault="002A24A0" w:rsidP="002A24A0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niż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wymienione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powyżej,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jeżeli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mogłyby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istotny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sposób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wpłynąć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 ocenę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majątkowej i finansowej oraz wynik finansowy jednostki</w:t>
            </w:r>
          </w:p>
        </w:tc>
      </w:tr>
      <w:tr w:rsidR="002A24A0" w:rsidRPr="00035F99" w:rsidTr="00D800E5">
        <w:trPr>
          <w:trHeight w:val="3654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035F99">
              <w:rPr>
                <w:rFonts w:ascii="Arial" w:hAnsi="Arial"/>
                <w:sz w:val="22"/>
                <w:szCs w:val="22"/>
              </w:rPr>
              <w:t>Rozliczenie głównych pozycji podstaw opodatkowania podatkiem dochodowym od wyniku finansowego 2022</w:t>
            </w:r>
          </w:p>
          <w:p w:rsidR="002A24A0" w:rsidRPr="00035F99" w:rsidRDefault="002A24A0" w:rsidP="002A24A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/>
            </w:tblPr>
            <w:tblGrid>
              <w:gridCol w:w="5524"/>
              <w:gridCol w:w="1769"/>
              <w:gridCol w:w="1769"/>
            </w:tblGrid>
            <w:tr w:rsidR="002A24A0" w:rsidRPr="00035F99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 xml:space="preserve">Przychody wg. ksiąg będące podstawą opodatkowania </w:t>
                  </w:r>
                </w:p>
              </w:tc>
              <w:tc>
                <w:tcPr>
                  <w:tcW w:w="1769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69" w:type="dxa"/>
                </w:tcPr>
                <w:p w:rsidR="002A24A0" w:rsidRPr="00E65B8B" w:rsidRDefault="00954AF9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4.303.670,47</w:t>
                  </w:r>
                </w:p>
              </w:tc>
            </w:tr>
            <w:tr w:rsidR="002A24A0" w:rsidRPr="00035F99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Koszty uzyskania przychodu</w:t>
                  </w:r>
                </w:p>
              </w:tc>
              <w:tc>
                <w:tcPr>
                  <w:tcW w:w="1769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69" w:type="dxa"/>
                </w:tcPr>
                <w:p w:rsidR="002A24A0" w:rsidRPr="00E65B8B" w:rsidRDefault="00385419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694.596,27</w:t>
                  </w:r>
                </w:p>
              </w:tc>
            </w:tr>
            <w:tr w:rsidR="002A24A0" w:rsidRPr="00035F99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Koszty uzyskania przychodu wg. ksiąg rachunkowych</w:t>
                  </w:r>
                </w:p>
              </w:tc>
              <w:tc>
                <w:tcPr>
                  <w:tcW w:w="1769" w:type="dxa"/>
                </w:tcPr>
                <w:p w:rsidR="002A24A0" w:rsidRPr="00E65B8B" w:rsidRDefault="00954AF9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4.184.418,60</w:t>
                  </w:r>
                </w:p>
              </w:tc>
              <w:tc>
                <w:tcPr>
                  <w:tcW w:w="1769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koszty finansowane z dotacji</w:t>
                  </w:r>
                </w:p>
              </w:tc>
              <w:tc>
                <w:tcPr>
                  <w:tcW w:w="1769" w:type="dxa"/>
                </w:tcPr>
                <w:p w:rsidR="002A24A0" w:rsidRPr="00E65B8B" w:rsidRDefault="00954AF9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3.489.812,94</w:t>
                  </w:r>
                </w:p>
              </w:tc>
              <w:tc>
                <w:tcPr>
                  <w:tcW w:w="1769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niewypłacone nagrody roczne</w:t>
                  </w:r>
                </w:p>
              </w:tc>
              <w:tc>
                <w:tcPr>
                  <w:tcW w:w="1769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69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niezapłacone składki ZUS</w:t>
                  </w:r>
                </w:p>
              </w:tc>
              <w:tc>
                <w:tcPr>
                  <w:tcW w:w="1769" w:type="dxa"/>
                </w:tcPr>
                <w:p w:rsidR="002A24A0" w:rsidRPr="00E65B8B" w:rsidRDefault="00954AF9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9,39</w:t>
                  </w:r>
                </w:p>
              </w:tc>
              <w:tc>
                <w:tcPr>
                  <w:tcW w:w="1769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Dochód</w:t>
                  </w:r>
                </w:p>
              </w:tc>
              <w:tc>
                <w:tcPr>
                  <w:tcW w:w="1769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69" w:type="dxa"/>
                </w:tcPr>
                <w:p w:rsidR="002A24A0" w:rsidRPr="00E65B8B" w:rsidRDefault="00385419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3.609.074,20</w:t>
                  </w:r>
                </w:p>
              </w:tc>
            </w:tr>
          </w:tbl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44C0C" w:rsidRPr="00035F99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:rsidR="00BB7222" w:rsidRDefault="00BB7222" w:rsidP="00CC17D3">
      <w:pPr>
        <w:pStyle w:val="Standard"/>
        <w:widowControl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BB7222" w:rsidRPr="00CC17D3" w:rsidRDefault="00E6662E" w:rsidP="009164A5">
      <w:pPr>
        <w:pStyle w:val="Standard"/>
        <w:widowControl w:val="0"/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24</w:t>
      </w:r>
      <w:r w:rsidR="00CC17D3" w:rsidRPr="00CC17D3">
        <w:rPr>
          <w:rFonts w:ascii="Arial" w:hAnsi="Arial" w:cs="Arial"/>
          <w:sz w:val="16"/>
          <w:szCs w:val="16"/>
        </w:rPr>
        <w:t>-03-202</w:t>
      </w:r>
      <w:r w:rsidR="009164A5">
        <w:rPr>
          <w:rFonts w:ascii="Arial" w:hAnsi="Arial" w:cs="Arial"/>
          <w:sz w:val="16"/>
          <w:szCs w:val="16"/>
        </w:rPr>
        <w:t>3</w:t>
      </w:r>
    </w:p>
    <w:p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>…………………………………………………………….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…………………………………………………………….</w:t>
      </w:r>
    </w:p>
    <w:p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Główny Księgowy Centrum Usług Wspólnych Miasta Tychy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 </w:t>
      </w: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Dyrektor Centrum Usług Wspólnych Miasta Tychy</w:t>
      </w:r>
    </w:p>
    <w:sectPr w:rsidR="0087629E" w:rsidSect="00597E79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82C" w:rsidRDefault="00D6082C">
      <w:r>
        <w:separator/>
      </w:r>
    </w:p>
  </w:endnote>
  <w:endnote w:type="continuationSeparator" w:id="0">
    <w:p w:rsidR="00D6082C" w:rsidRDefault="00D60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charset w:val="00"/>
    <w:family w:val="auto"/>
    <w:pitch w:val="variable"/>
    <w:sig w:usb0="00000000" w:usb1="00000000" w:usb2="00000000" w:usb3="00000000" w:csb0="00000000" w:csb1="00000000"/>
  </w:font>
  <w:font w:name="Times New Roman Gree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82C" w:rsidRDefault="00D6082C">
      <w:r>
        <w:rPr>
          <w:color w:val="000000"/>
        </w:rPr>
        <w:separator/>
      </w:r>
    </w:p>
  </w:footnote>
  <w:footnote w:type="continuationSeparator" w:id="0">
    <w:p w:rsidR="00D6082C" w:rsidRDefault="00D608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4C0C"/>
    <w:rsid w:val="0000482B"/>
    <w:rsid w:val="00017EE8"/>
    <w:rsid w:val="00035F99"/>
    <w:rsid w:val="00036022"/>
    <w:rsid w:val="00044C0C"/>
    <w:rsid w:val="000C0E9D"/>
    <w:rsid w:val="000C4851"/>
    <w:rsid w:val="000E4929"/>
    <w:rsid w:val="000E66D7"/>
    <w:rsid w:val="000F1463"/>
    <w:rsid w:val="000F764A"/>
    <w:rsid w:val="00155AE2"/>
    <w:rsid w:val="001766D9"/>
    <w:rsid w:val="001852AF"/>
    <w:rsid w:val="001A0CD7"/>
    <w:rsid w:val="001A536C"/>
    <w:rsid w:val="002071D3"/>
    <w:rsid w:val="0021612A"/>
    <w:rsid w:val="002200CB"/>
    <w:rsid w:val="002334C0"/>
    <w:rsid w:val="00251931"/>
    <w:rsid w:val="002640FA"/>
    <w:rsid w:val="002A24A0"/>
    <w:rsid w:val="002B4DB2"/>
    <w:rsid w:val="002C6524"/>
    <w:rsid w:val="002E4B66"/>
    <w:rsid w:val="003129D8"/>
    <w:rsid w:val="00324007"/>
    <w:rsid w:val="00374E78"/>
    <w:rsid w:val="00377795"/>
    <w:rsid w:val="00385419"/>
    <w:rsid w:val="00386093"/>
    <w:rsid w:val="00390679"/>
    <w:rsid w:val="003937F2"/>
    <w:rsid w:val="003A5473"/>
    <w:rsid w:val="003C4CCF"/>
    <w:rsid w:val="003E796E"/>
    <w:rsid w:val="003F57EE"/>
    <w:rsid w:val="00411C97"/>
    <w:rsid w:val="00460E15"/>
    <w:rsid w:val="00461A8F"/>
    <w:rsid w:val="004816EB"/>
    <w:rsid w:val="004D3BA6"/>
    <w:rsid w:val="004D7C6B"/>
    <w:rsid w:val="0052265A"/>
    <w:rsid w:val="00525E12"/>
    <w:rsid w:val="00550EAF"/>
    <w:rsid w:val="005611C2"/>
    <w:rsid w:val="00561659"/>
    <w:rsid w:val="00590562"/>
    <w:rsid w:val="00597E79"/>
    <w:rsid w:val="005B5ABC"/>
    <w:rsid w:val="005E10FB"/>
    <w:rsid w:val="00606B8F"/>
    <w:rsid w:val="00611EBF"/>
    <w:rsid w:val="006143FF"/>
    <w:rsid w:val="006374EB"/>
    <w:rsid w:val="00653A50"/>
    <w:rsid w:val="0066113A"/>
    <w:rsid w:val="00680915"/>
    <w:rsid w:val="00695AC3"/>
    <w:rsid w:val="0069760E"/>
    <w:rsid w:val="006A02B6"/>
    <w:rsid w:val="006A36F8"/>
    <w:rsid w:val="006B4438"/>
    <w:rsid w:val="006F0B4F"/>
    <w:rsid w:val="006F1100"/>
    <w:rsid w:val="006F7132"/>
    <w:rsid w:val="007008E6"/>
    <w:rsid w:val="007038C4"/>
    <w:rsid w:val="00710BA3"/>
    <w:rsid w:val="00716DB6"/>
    <w:rsid w:val="007204B1"/>
    <w:rsid w:val="00772D2D"/>
    <w:rsid w:val="007866AE"/>
    <w:rsid w:val="007877D2"/>
    <w:rsid w:val="007A5325"/>
    <w:rsid w:val="007D1FF5"/>
    <w:rsid w:val="00801FDE"/>
    <w:rsid w:val="00820B08"/>
    <w:rsid w:val="00820C89"/>
    <w:rsid w:val="00834EAA"/>
    <w:rsid w:val="00837F04"/>
    <w:rsid w:val="00841B20"/>
    <w:rsid w:val="00841ECB"/>
    <w:rsid w:val="008553EA"/>
    <w:rsid w:val="008669EF"/>
    <w:rsid w:val="0087629E"/>
    <w:rsid w:val="00893A5E"/>
    <w:rsid w:val="00897A2A"/>
    <w:rsid w:val="008C233D"/>
    <w:rsid w:val="008C2456"/>
    <w:rsid w:val="008D219A"/>
    <w:rsid w:val="008E72DE"/>
    <w:rsid w:val="008F7775"/>
    <w:rsid w:val="009164A5"/>
    <w:rsid w:val="00922A6A"/>
    <w:rsid w:val="00922FF7"/>
    <w:rsid w:val="00924FBF"/>
    <w:rsid w:val="00954AF9"/>
    <w:rsid w:val="00957BE9"/>
    <w:rsid w:val="00976F11"/>
    <w:rsid w:val="00993C56"/>
    <w:rsid w:val="009C0801"/>
    <w:rsid w:val="00A22F03"/>
    <w:rsid w:val="00A63EE6"/>
    <w:rsid w:val="00AD394A"/>
    <w:rsid w:val="00B20149"/>
    <w:rsid w:val="00B722B3"/>
    <w:rsid w:val="00B82168"/>
    <w:rsid w:val="00B97E01"/>
    <w:rsid w:val="00BB7222"/>
    <w:rsid w:val="00BD02C9"/>
    <w:rsid w:val="00BD0A7C"/>
    <w:rsid w:val="00C1014E"/>
    <w:rsid w:val="00C36D5D"/>
    <w:rsid w:val="00C66542"/>
    <w:rsid w:val="00CA3E87"/>
    <w:rsid w:val="00CC17D3"/>
    <w:rsid w:val="00CE0240"/>
    <w:rsid w:val="00CE1D1D"/>
    <w:rsid w:val="00CE5916"/>
    <w:rsid w:val="00CF6713"/>
    <w:rsid w:val="00CF798E"/>
    <w:rsid w:val="00D05B10"/>
    <w:rsid w:val="00D07D26"/>
    <w:rsid w:val="00D42D2C"/>
    <w:rsid w:val="00D44238"/>
    <w:rsid w:val="00D44F63"/>
    <w:rsid w:val="00D46042"/>
    <w:rsid w:val="00D6082C"/>
    <w:rsid w:val="00D800E5"/>
    <w:rsid w:val="00DB66E2"/>
    <w:rsid w:val="00DF6459"/>
    <w:rsid w:val="00E232DD"/>
    <w:rsid w:val="00E246D0"/>
    <w:rsid w:val="00E436B9"/>
    <w:rsid w:val="00E517E9"/>
    <w:rsid w:val="00E579F1"/>
    <w:rsid w:val="00E65B8B"/>
    <w:rsid w:val="00E6662E"/>
    <w:rsid w:val="00ED21CC"/>
    <w:rsid w:val="00EF5F1B"/>
    <w:rsid w:val="00F04D17"/>
    <w:rsid w:val="00F45A81"/>
    <w:rsid w:val="00F50651"/>
    <w:rsid w:val="00F62BC9"/>
    <w:rsid w:val="00F648FF"/>
    <w:rsid w:val="00F75DAA"/>
    <w:rsid w:val="00F772EF"/>
    <w:rsid w:val="00F85801"/>
    <w:rsid w:val="00FB4818"/>
    <w:rsid w:val="00FF5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97E79"/>
    <w:pPr>
      <w:suppressAutoHyphens/>
    </w:pPr>
  </w:style>
  <w:style w:type="paragraph" w:styleId="Nagwek7">
    <w:name w:val="heading 7"/>
    <w:basedOn w:val="Normalny"/>
    <w:next w:val="Normalny"/>
    <w:rsid w:val="00597E79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97E79"/>
    <w:pPr>
      <w:widowControl/>
      <w:suppressAutoHyphens/>
      <w:textAlignment w:val="auto"/>
    </w:pPr>
    <w:rPr>
      <w:rFonts w:ascii="Times New Roman" w:eastAsia="Times New Roman Cyr" w:hAnsi="Times New Roman" w:cs="Times New Roman Greek"/>
      <w:lang w:eastAsia="pl-PL"/>
    </w:rPr>
  </w:style>
  <w:style w:type="paragraph" w:customStyle="1" w:styleId="Heading">
    <w:name w:val="Heading"/>
    <w:basedOn w:val="Standard"/>
    <w:next w:val="Textbody"/>
    <w:rsid w:val="00597E7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597E79"/>
    <w:pPr>
      <w:spacing w:after="140" w:line="276" w:lineRule="auto"/>
    </w:pPr>
  </w:style>
  <w:style w:type="paragraph" w:styleId="Lista">
    <w:name w:val="List"/>
    <w:basedOn w:val="Textbody"/>
    <w:rsid w:val="00597E79"/>
    <w:rPr>
      <w:rFonts w:cs="Arial"/>
    </w:rPr>
  </w:style>
  <w:style w:type="paragraph" w:styleId="Legenda">
    <w:name w:val="caption"/>
    <w:basedOn w:val="Standard"/>
    <w:rsid w:val="00597E79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597E79"/>
    <w:pPr>
      <w:suppressLineNumbers/>
    </w:pPr>
    <w:rPr>
      <w:rFonts w:cs="Arial"/>
    </w:rPr>
  </w:style>
  <w:style w:type="paragraph" w:customStyle="1" w:styleId="DocumentMap">
    <w:name w:val="DocumentMap"/>
    <w:rsid w:val="00597E79"/>
    <w:pPr>
      <w:widowControl/>
      <w:suppressAutoHyphens/>
      <w:textAlignment w:val="auto"/>
    </w:pPr>
    <w:rPr>
      <w:rFonts w:ascii="Times New Roman" w:eastAsia="Times New Roman Cyr" w:hAnsi="Times New Roman" w:cs="Times New Roman Greek"/>
      <w:sz w:val="20"/>
      <w:lang w:eastAsia="pl-PL"/>
    </w:rPr>
  </w:style>
  <w:style w:type="paragraph" w:styleId="Akapitzlist">
    <w:name w:val="List Paragraph"/>
    <w:basedOn w:val="Normalny"/>
    <w:rsid w:val="00597E79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rsid w:val="00597E79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rsid w:val="00597E79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table" w:styleId="Tabela-Siatka">
    <w:name w:val="Table Grid"/>
    <w:basedOn w:val="Standardowy"/>
    <w:uiPriority w:val="39"/>
    <w:rsid w:val="0069760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41FBD-5E6B-462C-A1A6-B4A4FAD1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1863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/>
  <LinksUpToDate>false</LinksUpToDate>
  <CharactersWithSpaces>13020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creator>j.borkowski</dc:creator>
  <cp:lastModifiedBy>ilukaszek</cp:lastModifiedBy>
  <cp:revision>2</cp:revision>
  <cp:lastPrinted>2023-03-24T12:20:00Z</cp:lastPrinted>
  <dcterms:created xsi:type="dcterms:W3CDTF">2023-03-30T13:38:00Z</dcterms:created>
  <dcterms:modified xsi:type="dcterms:W3CDTF">2023-03-30T13:38:00Z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