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Załącznik Nr </w:t>
      </w:r>
      <w:r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9164A5" w:rsidRPr="00D44F63" w:rsidRDefault="00D44F63" w:rsidP="009164A5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do Zarządzenia Nr </w:t>
      </w:r>
      <w:r w:rsidR="008C2456">
        <w:rPr>
          <w:rFonts w:ascii="Arial" w:hAnsi="Arial" w:cs="Arial"/>
          <w:b/>
          <w:color w:val="2E2014"/>
          <w:sz w:val="12"/>
          <w:szCs w:val="12"/>
        </w:rPr>
        <w:t>0050/</w:t>
      </w:r>
      <w:r w:rsidR="00E80B23">
        <w:rPr>
          <w:rFonts w:ascii="Arial" w:hAnsi="Arial" w:cs="Arial"/>
          <w:b/>
          <w:color w:val="2E2014"/>
          <w:sz w:val="12"/>
          <w:szCs w:val="12"/>
        </w:rPr>
        <w:t>101</w:t>
      </w:r>
      <w:r w:rsidR="008C2456">
        <w:rPr>
          <w:rFonts w:ascii="Arial" w:hAnsi="Arial" w:cs="Arial"/>
          <w:b/>
          <w:color w:val="2E2014"/>
          <w:sz w:val="12"/>
          <w:szCs w:val="12"/>
        </w:rPr>
        <w:t>/2</w:t>
      </w:r>
      <w:r w:rsidR="009164A5"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>Prezydenta Miasta Tychy</w:t>
      </w:r>
    </w:p>
    <w:p w:rsidR="00D44F63" w:rsidRPr="00D44F63" w:rsidRDefault="00D44F63" w:rsidP="00D44F63">
      <w:pPr>
        <w:pStyle w:val="Standard"/>
        <w:jc w:val="right"/>
        <w:rPr>
          <w:rFonts w:ascii="Arial" w:hAnsi="Arial" w:cs="Arial"/>
          <w:b/>
          <w:color w:val="2E2014"/>
          <w:sz w:val="12"/>
          <w:szCs w:val="12"/>
        </w:rPr>
      </w:pPr>
      <w:r w:rsidRPr="00D44F63">
        <w:rPr>
          <w:rFonts w:ascii="Arial" w:hAnsi="Arial" w:cs="Arial"/>
          <w:b/>
          <w:color w:val="2E2014"/>
          <w:sz w:val="12"/>
          <w:szCs w:val="12"/>
        </w:rPr>
        <w:t xml:space="preserve">z dnia </w:t>
      </w:r>
      <w:r w:rsidR="00682C89">
        <w:rPr>
          <w:rFonts w:ascii="Arial" w:hAnsi="Arial" w:cs="Arial"/>
          <w:b/>
          <w:color w:val="2E2014"/>
          <w:sz w:val="12"/>
          <w:szCs w:val="12"/>
        </w:rPr>
        <w:t xml:space="preserve">24 </w:t>
      </w:r>
      <w:r w:rsidR="008C2456">
        <w:rPr>
          <w:rFonts w:ascii="Arial" w:hAnsi="Arial" w:cs="Arial"/>
          <w:b/>
          <w:color w:val="2E2014"/>
          <w:sz w:val="12"/>
          <w:szCs w:val="12"/>
        </w:rPr>
        <w:t xml:space="preserve">marca </w:t>
      </w:r>
      <w:r w:rsidR="00A63EE6">
        <w:rPr>
          <w:rFonts w:ascii="Arial" w:hAnsi="Arial" w:cs="Arial"/>
          <w:b/>
          <w:color w:val="2E2014"/>
          <w:sz w:val="12"/>
          <w:szCs w:val="12"/>
        </w:rPr>
        <w:t>202</w:t>
      </w:r>
      <w:r w:rsidR="009164A5">
        <w:rPr>
          <w:rFonts w:ascii="Arial" w:hAnsi="Arial" w:cs="Arial"/>
          <w:b/>
          <w:color w:val="2E2014"/>
          <w:sz w:val="12"/>
          <w:szCs w:val="12"/>
        </w:rPr>
        <w:t>3</w:t>
      </w:r>
    </w:p>
    <w:p w:rsidR="00044C0C" w:rsidRDefault="00155AE2" w:rsidP="008669EF">
      <w:pPr>
        <w:pStyle w:val="Standard"/>
        <w:spacing w:line="360" w:lineRule="auto"/>
        <w:ind w:left="3673" w:right="3653"/>
        <w:jc w:val="center"/>
        <w:rPr>
          <w:rFonts w:ascii="Arial" w:hAnsi="Arial" w:cs="Arial"/>
          <w:b/>
          <w:color w:val="2E2014"/>
          <w:sz w:val="22"/>
          <w:szCs w:val="22"/>
        </w:rPr>
      </w:pPr>
      <w:r>
        <w:rPr>
          <w:rFonts w:ascii="Arial" w:hAnsi="Arial" w:cs="Arial"/>
          <w:b/>
          <w:color w:val="2E2014"/>
          <w:sz w:val="22"/>
          <w:szCs w:val="22"/>
        </w:rPr>
        <w:t>INFORMACJA DODATKOWA</w:t>
      </w:r>
      <w:r w:rsidR="008669EF">
        <w:rPr>
          <w:rFonts w:ascii="Arial" w:hAnsi="Arial" w:cs="Arial"/>
          <w:b/>
          <w:color w:val="2E2014"/>
          <w:sz w:val="22"/>
          <w:szCs w:val="22"/>
        </w:rPr>
        <w:t xml:space="preserve"> </w:t>
      </w:r>
    </w:p>
    <w:p w:rsidR="00922A6A" w:rsidRPr="009164A5" w:rsidRDefault="00922A6A" w:rsidP="008669EF">
      <w:pPr>
        <w:pStyle w:val="Standard"/>
        <w:spacing w:line="360" w:lineRule="auto"/>
        <w:ind w:left="3673" w:right="3653"/>
        <w:jc w:val="center"/>
        <w:rPr>
          <w:sz w:val="20"/>
          <w:szCs w:val="20"/>
        </w:rPr>
      </w:pP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6" w:right="-23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A6A" w:rsidRDefault="00922A6A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AUKSO Orkiestra Kameralna Miasta Tychy jest instytucją kultury działającą od 1 kwietnia 2016 r. na podstawie Uchwały Nr XVIII / 299 / 16 Rady Miasta Tychy z dnia 28 stycznia 2016 r</w:t>
            </w:r>
            <w:r w:rsidR="00E579F1">
              <w:rPr>
                <w:rFonts w:ascii="Arial" w:hAnsi="Arial"/>
                <w:sz w:val="22"/>
                <w:szCs w:val="22"/>
              </w:rPr>
              <w:t>oku.</w:t>
            </w: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przedmiotem działalności instytucji jest działalność kulturalna poprzez rozwijanie i zaspakajanie potrzeb społeczeństwa w zakresie kultury muzycznej; ukazywanie bogactwa muzyki polskiej oraz światowej, a także upowszechnianie współczesnej twórczości muzycznej; organizowanie koncertów; dążenie do osiągania jak najwyższego poziomu</w:t>
            </w:r>
            <w:r w:rsidR="00377795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programu artystycznego; organizacja reprezentatywnych programów artystycznych; prowadzenie współpracy kulturalnej z zagranicą; prowadzenie działalności promocyjnej</w:t>
            </w:r>
            <w:r w:rsidR="00E579F1">
              <w:rPr>
                <w:rFonts w:ascii="Arial" w:hAnsi="Arial"/>
                <w:sz w:val="22"/>
                <w:szCs w:val="22"/>
              </w:rPr>
              <w:t>.</w:t>
            </w: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AUKSO Orkiestra Kameralna Miasta Tychy jest zarejestrowana jako instytucja kultury w Rejestrze Instytucji Kultury prowadzonym przez organizatora.</w:t>
            </w:r>
          </w:p>
          <w:p w:rsidR="00D800E5" w:rsidRPr="00D800E5" w:rsidRDefault="00D800E5" w:rsidP="00E579F1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0E5"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działalności.</w:t>
            </w:r>
          </w:p>
          <w:p w:rsidR="00922A6A" w:rsidRPr="00E579F1" w:rsidRDefault="00922A6A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AUKSO Orkiestra Kameralna Miasta Tychy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9F1">
              <w:rPr>
                <w:rFonts w:ascii="Arial" w:hAnsi="Arial" w:cs="Arial"/>
                <w:sz w:val="22"/>
                <w:szCs w:val="22"/>
              </w:rPr>
              <w:t>43-100 Tychy, al. Piłsudskiego 16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43-100 Tychy, al. Piłsudskiego 16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Działalność związana z wystawianiem przedstawień artystycznych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F04" w:rsidRDefault="00155AE2" w:rsidP="00837F04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01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25E12">
              <w:rPr>
                <w:rFonts w:ascii="Arial" w:hAnsi="Arial" w:cs="Arial"/>
                <w:sz w:val="22"/>
                <w:szCs w:val="22"/>
              </w:rPr>
              <w:t>stycznia</w:t>
            </w:r>
            <w:r w:rsidRPr="009C080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C0801" w:rsidRPr="009C0801">
              <w:rPr>
                <w:rFonts w:ascii="Arial" w:hAnsi="Arial" w:cs="Arial"/>
                <w:sz w:val="22"/>
                <w:szCs w:val="22"/>
              </w:rPr>
              <w:t>2</w:t>
            </w:r>
            <w:r w:rsidR="00525E12">
              <w:rPr>
                <w:rFonts w:ascii="Arial" w:hAnsi="Arial" w:cs="Arial"/>
                <w:sz w:val="22"/>
                <w:szCs w:val="22"/>
              </w:rPr>
              <w:t>2</w:t>
            </w:r>
            <w:r w:rsidRPr="009C0801">
              <w:rPr>
                <w:rFonts w:ascii="Arial" w:hAnsi="Arial" w:cs="Arial"/>
                <w:sz w:val="22"/>
                <w:szCs w:val="22"/>
              </w:rPr>
              <w:t xml:space="preserve"> – 31 grud</w:t>
            </w:r>
            <w:r w:rsidR="008553EA">
              <w:rPr>
                <w:rFonts w:ascii="Arial" w:hAnsi="Arial" w:cs="Arial"/>
                <w:sz w:val="22"/>
                <w:szCs w:val="22"/>
              </w:rPr>
              <w:t>nia</w:t>
            </w:r>
            <w:r w:rsidRPr="009C080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232DD" w:rsidRPr="009C0801">
              <w:rPr>
                <w:rFonts w:ascii="Arial" w:hAnsi="Arial" w:cs="Arial"/>
                <w:sz w:val="22"/>
                <w:szCs w:val="22"/>
              </w:rPr>
              <w:t>2</w:t>
            </w:r>
            <w:r w:rsidR="00525E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A6A" w:rsidRDefault="00922A6A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Sprawozdanie sporządza w wersji pełnej wykazując w nim składniki aktywów </w:t>
            </w:r>
            <w:r>
              <w:rPr>
                <w:rFonts w:ascii="Arial" w:hAnsi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044C0C" w:rsidRDefault="00155AE2" w:rsidP="00E579F1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trwałe oraz wartości niematerialne i prawne wg cen nabycia lub kosztu w</w:t>
            </w:r>
            <w:r w:rsidRPr="00E579F1">
              <w:rPr>
                <w:rFonts w:ascii="Arial" w:hAnsi="Arial"/>
                <w:sz w:val="22"/>
                <w:szCs w:val="22"/>
              </w:rPr>
              <w:t>y</w:t>
            </w:r>
            <w:r w:rsidRPr="00E579F1">
              <w:rPr>
                <w:rFonts w:ascii="Arial" w:hAnsi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amortyzacyjne lub umorzeniowe, a także o odpisy z tytułu trwałej utraty wartości z uwzględnieniem przepisów art. 31, art. 32 ust. 1-5 i art. 33 ust. 1 lub wg ceny ry</w:t>
            </w:r>
            <w:r w:rsidRPr="00E579F1">
              <w:rPr>
                <w:rFonts w:ascii="Arial" w:hAnsi="Arial"/>
                <w:sz w:val="22"/>
                <w:szCs w:val="22"/>
              </w:rPr>
              <w:t>n</w:t>
            </w:r>
            <w:r w:rsidRPr="00E579F1">
              <w:rPr>
                <w:rFonts w:ascii="Arial" w:hAnsi="Arial"/>
                <w:sz w:val="22"/>
                <w:szCs w:val="22"/>
              </w:rPr>
              <w:t>kowej; nie umarza się gruntów i dóbr kultury;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inwestycje (środki trwałe w budowie) w wysokości ogółu poniesionych kosztów p</w:t>
            </w:r>
            <w:r w:rsidRPr="00E579F1">
              <w:rPr>
                <w:rFonts w:ascii="Arial" w:hAnsi="Arial"/>
                <w:sz w:val="22"/>
                <w:szCs w:val="22"/>
              </w:rPr>
              <w:t>o</w:t>
            </w:r>
            <w:r w:rsidRPr="00E579F1">
              <w:rPr>
                <w:rFonts w:ascii="Arial" w:hAnsi="Arial"/>
                <w:sz w:val="22"/>
                <w:szCs w:val="22"/>
              </w:rPr>
              <w:t>zostających w bezpośrednim związku z ich nabyciem lub wytworzeniem pomnie</w:t>
            </w:r>
            <w:r w:rsidRPr="00E579F1">
              <w:rPr>
                <w:rFonts w:ascii="Arial" w:hAnsi="Arial"/>
                <w:sz w:val="22"/>
                <w:szCs w:val="22"/>
              </w:rPr>
              <w:t>j</w:t>
            </w:r>
            <w:r w:rsidRPr="00E579F1">
              <w:rPr>
                <w:rFonts w:ascii="Arial" w:hAnsi="Arial"/>
                <w:sz w:val="22"/>
                <w:szCs w:val="22"/>
              </w:rPr>
              <w:t>szone o odpisy z tytułu trwałej utraty wartości;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lastRenderedPageBreak/>
              <w:t xml:space="preserve">rzeczowe składniki aktywów obrotowych wg cen nabycia lub kosztów wytworzenia nie wyższych od cen ich sprzedaży netto na dzień bilansowy; do bilansu wycenia się wg wartości wynikającej z ewidencji; w </w:t>
            </w:r>
            <w:r w:rsidR="00F50651" w:rsidRPr="00E579F1">
              <w:rPr>
                <w:rFonts w:ascii="Arial" w:hAnsi="Arial"/>
                <w:sz w:val="22"/>
                <w:szCs w:val="22"/>
              </w:rPr>
              <w:t>jednostkach,</w:t>
            </w:r>
            <w:r w:rsidRPr="00E579F1">
              <w:rPr>
                <w:rFonts w:ascii="Arial" w:hAnsi="Arial"/>
                <w:sz w:val="22"/>
                <w:szCs w:val="22"/>
              </w:rPr>
              <w:t xml:space="preserve"> które prowadzą ewidencję zapasów wg cen ewidencyjnych i ewidencjonują odchylenia od cen zakupu, nabycia lub sprzedaży wartość zapasów na dzień bilansowy korygują odpowiednio o wartość o</w:t>
            </w:r>
            <w:r w:rsidR="002C6524">
              <w:rPr>
                <w:rFonts w:ascii="Arial" w:hAnsi="Arial"/>
                <w:sz w:val="22"/>
                <w:szCs w:val="22"/>
              </w:rPr>
              <w:t>dc</w:t>
            </w:r>
            <w:r w:rsidRPr="00E579F1">
              <w:rPr>
                <w:rFonts w:ascii="Arial" w:hAnsi="Arial"/>
                <w:sz w:val="22"/>
                <w:szCs w:val="22"/>
              </w:rPr>
              <w:t>hyleń;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należności w kwocie wymaganej zapłaty; jeżeli jednostka dokonała odpisów aktual</w:t>
            </w:r>
            <w:r w:rsidRPr="00E579F1">
              <w:rPr>
                <w:rFonts w:ascii="Arial" w:hAnsi="Arial"/>
                <w:sz w:val="22"/>
                <w:szCs w:val="22"/>
              </w:rPr>
              <w:t>i</w:t>
            </w:r>
            <w:r w:rsidRPr="00E579F1">
              <w:rPr>
                <w:rFonts w:ascii="Arial" w:hAnsi="Arial"/>
                <w:sz w:val="22"/>
                <w:szCs w:val="22"/>
              </w:rPr>
              <w:t>zacyjnych i wartość tych odpisów została ujęta na koncie 290, to należności wyc</w:t>
            </w:r>
            <w:r w:rsidRPr="00E579F1">
              <w:rPr>
                <w:rFonts w:ascii="Arial" w:hAnsi="Arial"/>
                <w:sz w:val="22"/>
                <w:szCs w:val="22"/>
              </w:rPr>
              <w:t>e</w:t>
            </w:r>
            <w:r w:rsidRPr="00E579F1">
              <w:rPr>
                <w:rFonts w:ascii="Arial" w:hAnsi="Arial"/>
                <w:sz w:val="22"/>
                <w:szCs w:val="22"/>
              </w:rPr>
              <w:t>nione na dzień bilansowy wykazuje się po pomniejszeniu o wartość odpisów;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zobowiązania w kwocie wymaganej zapłaty;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pieniężne wg wartości nominalnej;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fundusze oraz pozostałe aktywa i pasywa wycenia się wg wartości wynikającej z ew</w:t>
            </w:r>
            <w:r w:rsidR="002C6524">
              <w:rPr>
                <w:rFonts w:ascii="Arial" w:hAnsi="Arial"/>
                <w:sz w:val="22"/>
                <w:szCs w:val="22"/>
              </w:rPr>
              <w:t>i</w:t>
            </w:r>
            <w:r w:rsidRPr="00E579F1">
              <w:rPr>
                <w:rFonts w:ascii="Arial" w:hAnsi="Arial"/>
                <w:sz w:val="22"/>
                <w:szCs w:val="22"/>
              </w:rPr>
              <w:t>dencji księgowej.</w:t>
            </w:r>
          </w:p>
          <w:p w:rsidR="00044C0C" w:rsidRDefault="00155AE2" w:rsidP="00E579F1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zakupione składniki majątkowe trwałego użytku o przewidywanym okresie używania dłuższym niż rok i wartości początkowej poniżej 2.500 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zł</w:t>
            </w:r>
            <w:r w:rsidR="00682C8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zarachowywane w koszty i objęte ewidencją ilościową;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nych w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przepisach podatkowych; 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naliczone amortyzacja i umorzenie nie powodują zmian w funduszu jednostki.</w:t>
            </w:r>
          </w:p>
          <w:p w:rsidR="00922A6A" w:rsidRPr="00922A6A" w:rsidRDefault="00922A6A" w:rsidP="00922A6A">
            <w:pPr>
              <w:rPr>
                <w:lang w:eastAsia="pl-PL" w:bidi="ar-SA"/>
              </w:rPr>
            </w:pP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52265A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2265A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2265A" w:rsidRDefault="00155AE2" w:rsidP="00611EBF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szczegółowy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zakres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zmian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grup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rodzajowych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52265A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nabycia,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rozchodu,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przemieszczenia</w:t>
            </w:r>
            <w:r w:rsidRPr="0052265A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wewnętrznego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końcowy,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52265A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</w:t>
            </w:r>
            <w:r w:rsidRPr="0052265A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52265A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amortyzowanego</w:t>
            </w:r>
            <w:r w:rsidR="00611EBF"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52265A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 podobne przedstawienie stanów i tytułów zmian dotychczasowej amortyzacji lub umorzenia</w:t>
            </w:r>
          </w:p>
        </w:tc>
      </w:tr>
      <w:tr w:rsidR="009164A5" w:rsidRPr="009164A5" w:rsidTr="00D800E5">
        <w:trPr>
          <w:trHeight w:val="4188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2265A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88"/>
              <w:gridCol w:w="1559"/>
              <w:gridCol w:w="1431"/>
              <w:gridCol w:w="1261"/>
              <w:gridCol w:w="1647"/>
            </w:tblGrid>
            <w:tr w:rsidR="009164A5" w:rsidRPr="0052265A" w:rsidTr="00611EBF">
              <w:trPr>
                <w:trHeight w:val="216"/>
                <w:jc w:val="center"/>
              </w:trPr>
              <w:tc>
                <w:tcPr>
                  <w:tcW w:w="28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Wyszczególnienie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Stan na początek roku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Zmiany w trakcie roku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611EBF">
                  <w:pPr>
                    <w:pStyle w:val="TableContents"/>
                    <w:ind w:left="33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Stan na koniec roku</w:t>
                  </w:r>
                </w:p>
              </w:tc>
            </w:tr>
            <w:tr w:rsidR="009164A5" w:rsidRPr="0052265A" w:rsidTr="00CE0240">
              <w:trPr>
                <w:trHeight w:val="173"/>
                <w:jc w:val="center"/>
              </w:trPr>
              <w:tc>
                <w:tcPr>
                  <w:tcW w:w="288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611EBF">
                  <w:pPr>
                    <w:pStyle w:val="TableContents"/>
                    <w:ind w:left="40" w:right="4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Zwiększenia</w:t>
                  </w: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Zmniejszenia</w:t>
                  </w:r>
                </w:p>
              </w:tc>
              <w:tc>
                <w:tcPr>
                  <w:tcW w:w="1647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2265A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9164A5" w:rsidRPr="0052265A" w:rsidTr="00CE024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b/>
                      <w:sz w:val="18"/>
                      <w:szCs w:val="16"/>
                    </w:rPr>
                    <w:t>Grupa 4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9164A5" w:rsidRPr="0052265A" w:rsidTr="00CE0240">
              <w:trPr>
                <w:trHeight w:val="342"/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3.512,20</w:t>
                  </w: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3.512,20</w:t>
                  </w:r>
                </w:p>
              </w:tc>
            </w:tr>
            <w:tr w:rsidR="009164A5" w:rsidRPr="0052265A" w:rsidTr="00CE0240">
              <w:trPr>
                <w:trHeight w:val="294"/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01FDE" w:rsidRPr="0052265A" w:rsidRDefault="00801FDE" w:rsidP="00B82168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3</w:t>
                  </w:r>
                  <w:r w:rsidR="00F75DAA" w:rsidRPr="0052265A">
                    <w:rPr>
                      <w:rFonts w:ascii="Arial" w:hAnsi="Arial"/>
                      <w:sz w:val="18"/>
                      <w:szCs w:val="16"/>
                    </w:rPr>
                    <w:t>.</w:t>
                  </w: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512,20</w:t>
                  </w: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E232DD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3.512,2</w:t>
                  </w:r>
                  <w:r w:rsidR="00324007" w:rsidRPr="0052265A">
                    <w:rPr>
                      <w:rFonts w:ascii="Arial" w:hAnsi="Arial"/>
                      <w:sz w:val="18"/>
                      <w:szCs w:val="16"/>
                    </w:rPr>
                    <w:t>0</w:t>
                  </w:r>
                </w:p>
              </w:tc>
            </w:tr>
            <w:tr w:rsidR="009164A5" w:rsidRPr="0052265A" w:rsidTr="00CE024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801FDE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0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7204B1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0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,00</w:t>
                  </w:r>
                </w:p>
              </w:tc>
            </w:tr>
            <w:tr w:rsidR="009164A5" w:rsidRPr="0052265A" w:rsidTr="00CE024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b/>
                      <w:sz w:val="18"/>
                      <w:szCs w:val="16"/>
                    </w:rPr>
                    <w:t>Grupa 8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9164A5" w:rsidRPr="0052265A" w:rsidTr="00CE024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9164A5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376.167,52</w:t>
                  </w: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9164A5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151.562,00</w:t>
                  </w: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9164A5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527.729,52</w:t>
                  </w:r>
                </w:p>
              </w:tc>
            </w:tr>
            <w:tr w:rsidR="009164A5" w:rsidRPr="0052265A" w:rsidTr="00CE024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9164A5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14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0</w:t>
                  </w: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.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622,28</w:t>
                  </w: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9164A5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31.316,76</w:t>
                  </w: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924F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 xml:space="preserve">          0,00</w:t>
                  </w: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B5ABC" w:rsidRPr="0052265A" w:rsidRDefault="005B5ABC" w:rsidP="005B5ABC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171.939,04</w:t>
                  </w:r>
                </w:p>
              </w:tc>
            </w:tr>
            <w:tr w:rsidR="009164A5" w:rsidRPr="0052265A" w:rsidTr="00CE024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9164A5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23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5</w:t>
                  </w: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.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545</w:t>
                  </w: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,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2</w:t>
                  </w: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26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682C8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2265A" w:rsidRDefault="009164A5" w:rsidP="00D42D2C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35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5</w:t>
                  </w: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.</w:t>
                  </w:r>
                  <w:r w:rsidR="005B5ABC">
                    <w:rPr>
                      <w:rFonts w:ascii="Arial" w:hAnsi="Arial"/>
                      <w:sz w:val="18"/>
                      <w:szCs w:val="16"/>
                    </w:rPr>
                    <w:t>790,4</w:t>
                  </w:r>
                  <w:r w:rsidRPr="0052265A">
                    <w:rPr>
                      <w:rFonts w:ascii="Arial" w:hAnsi="Arial"/>
                      <w:sz w:val="18"/>
                      <w:szCs w:val="16"/>
                    </w:rPr>
                    <w:t>8</w:t>
                  </w:r>
                </w:p>
              </w:tc>
            </w:tr>
          </w:tbl>
          <w:p w:rsidR="00044C0C" w:rsidRPr="0052265A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aktualną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rynkową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dóbr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kultury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ile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dysponuje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takimi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informacjami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dokonanych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trakcie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odpisów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aktywów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odrębnie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 gruntów użytkowanych wieczyście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C1014E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nieamortyzowanych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nieumarzanych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przez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jednostkę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używanych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liczbę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posiadanych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wartościowych,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akcji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udziałów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dłużnych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 wartościowych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 o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odpisach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 wartość należności, ze wskazaniem stanu na początek roku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stanie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rezerw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celu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ich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utworzenia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początek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zwiększeniach,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wykorzystaniu, rozwiązaniu i stanie końcowym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D07D26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044C0C" w:rsidTr="00611EBF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611EBF">
                    <w:rPr>
                      <w:rFonts w:ascii="Arial" w:hAnsi="Arial"/>
                      <w:sz w:val="18"/>
                      <w:szCs w:val="22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8553EA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8553EA">
                    <w:rPr>
                      <w:rFonts w:ascii="Arial" w:hAnsi="Arial"/>
                      <w:sz w:val="18"/>
                      <w:szCs w:val="22"/>
                    </w:rPr>
                    <w:t>36.250,42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611EBF">
                    <w:rPr>
                      <w:rFonts w:ascii="Arial" w:hAnsi="Arial"/>
                      <w:sz w:val="18"/>
                      <w:szCs w:val="22"/>
                    </w:rPr>
                    <w:t>Z tytułu podatków i ubezpieczeń społecznych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893A5E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8553EA">
                    <w:rPr>
                      <w:rFonts w:ascii="Arial" w:hAnsi="Arial"/>
                      <w:sz w:val="18"/>
                      <w:szCs w:val="22"/>
                    </w:rPr>
                    <w:t>50,73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611EBF">
                    <w:rPr>
                      <w:rFonts w:ascii="Arial" w:hAnsi="Arial"/>
                      <w:sz w:val="18"/>
                      <w:szCs w:val="22"/>
                    </w:rPr>
                    <w:t>Z tytułu wynagrodzeń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893A5E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8553EA">
                    <w:rPr>
                      <w:rFonts w:ascii="Arial" w:hAnsi="Arial"/>
                      <w:sz w:val="18"/>
                      <w:szCs w:val="22"/>
                    </w:rPr>
                    <w:t>190,75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611EBF">
                    <w:rPr>
                      <w:rFonts w:ascii="Arial" w:hAnsi="Arial"/>
                      <w:sz w:val="18"/>
                      <w:szCs w:val="22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893A5E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8553EA">
                    <w:rPr>
                      <w:rFonts w:ascii="Arial" w:hAnsi="Arial"/>
                      <w:sz w:val="18"/>
                      <w:szCs w:val="22"/>
                    </w:rPr>
                    <w:t>3</w:t>
                  </w:r>
                  <w:r w:rsidR="008553EA" w:rsidRPr="008553EA">
                    <w:rPr>
                      <w:rFonts w:ascii="Arial" w:hAnsi="Arial"/>
                      <w:sz w:val="18"/>
                      <w:szCs w:val="22"/>
                    </w:rPr>
                    <w:t>.</w:t>
                  </w:r>
                  <w:r w:rsidRPr="008553EA">
                    <w:rPr>
                      <w:rFonts w:ascii="Arial" w:hAnsi="Arial"/>
                      <w:sz w:val="18"/>
                      <w:szCs w:val="22"/>
                    </w:rPr>
                    <w:t>794,36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="00F50651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sytuacji,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gdy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kwalifikuje umowy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leasingu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zgodnie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przepisami podatkowymi (leasing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operacyjny),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przepisów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rachunkowości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byłby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to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finansowy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zwrotny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zabezpieczonych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jednostki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ze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wskazaniem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charakteru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formy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tych zabezpieczeń</w:t>
            </w:r>
          </w:p>
        </w:tc>
      </w:tr>
      <w:tr w:rsidR="00D07D26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2E2014"/>
                <w:sz w:val="22"/>
                <w:szCs w:val="22"/>
              </w:rPr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A6A" w:rsidRDefault="00922A6A" w:rsidP="00922A6A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611EBF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Rozliczenia międzyokresowe długoterminowe przychodów to dotacje na zakupy inwestycyjne, które zgodnie z ustawą o rachunkowości zwiększają przychody w momencie odpisów amortyzacyjnych do wysokości tych odpisów w </w:t>
            </w:r>
            <w:r w:rsidR="00611EBF">
              <w:rPr>
                <w:rFonts w:ascii="Arial" w:hAnsi="Arial"/>
                <w:sz w:val="22"/>
                <w:szCs w:val="22"/>
              </w:rPr>
              <w:t xml:space="preserve">kwocie </w:t>
            </w:r>
            <w:r w:rsidR="008553EA">
              <w:rPr>
                <w:rFonts w:ascii="Arial" w:hAnsi="Arial"/>
                <w:sz w:val="22"/>
                <w:szCs w:val="22"/>
              </w:rPr>
              <w:t>2</w:t>
            </w:r>
            <w:r w:rsidR="00105C7C">
              <w:rPr>
                <w:rFonts w:ascii="Arial" w:hAnsi="Arial"/>
                <w:sz w:val="22"/>
                <w:szCs w:val="22"/>
              </w:rPr>
              <w:t>8</w:t>
            </w:r>
            <w:r w:rsidR="008553EA">
              <w:rPr>
                <w:rFonts w:ascii="Arial" w:hAnsi="Arial"/>
                <w:sz w:val="22"/>
                <w:szCs w:val="22"/>
              </w:rPr>
              <w:t>3.732,57</w:t>
            </w:r>
            <w:r w:rsidR="00611EB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zł</w:t>
            </w:r>
            <w:r w:rsidR="00957BE9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oraz krótkoterminowe na kwotę </w:t>
            </w:r>
            <w:r w:rsidR="008553EA">
              <w:rPr>
                <w:rFonts w:ascii="Arial" w:hAnsi="Arial"/>
                <w:sz w:val="22"/>
                <w:szCs w:val="22"/>
              </w:rPr>
              <w:t>50.147,94</w:t>
            </w:r>
            <w:r w:rsidR="00837F0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zł. z tytułu rozliczeń wpływu za bilety</w:t>
            </w:r>
            <w:r w:rsidR="00993C56">
              <w:rPr>
                <w:rFonts w:ascii="Arial" w:hAnsi="Arial"/>
                <w:sz w:val="22"/>
                <w:szCs w:val="22"/>
              </w:rPr>
              <w:t xml:space="preserve"> wstępu </w:t>
            </w:r>
            <w:r w:rsidR="008553EA">
              <w:rPr>
                <w:rFonts w:ascii="Arial" w:hAnsi="Arial"/>
                <w:sz w:val="22"/>
                <w:szCs w:val="22"/>
              </w:rPr>
              <w:t>3.674,98</w:t>
            </w:r>
            <w:r w:rsidR="00993C56">
              <w:rPr>
                <w:rFonts w:ascii="Arial" w:hAnsi="Arial"/>
                <w:sz w:val="22"/>
                <w:szCs w:val="22"/>
              </w:rPr>
              <w:t> zł</w:t>
            </w:r>
            <w:r w:rsidR="00957BE9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i odpisów </w:t>
            </w:r>
            <w:r w:rsidRPr="00E246D0">
              <w:rPr>
                <w:rFonts w:ascii="Arial" w:hAnsi="Arial"/>
                <w:sz w:val="22"/>
                <w:szCs w:val="22"/>
              </w:rPr>
              <w:t>amortyzacyjnych w 20</w:t>
            </w:r>
            <w:r w:rsidR="00DB66E2">
              <w:rPr>
                <w:rFonts w:ascii="Arial" w:hAnsi="Arial"/>
                <w:sz w:val="22"/>
                <w:szCs w:val="22"/>
              </w:rPr>
              <w:t>2</w:t>
            </w:r>
            <w:r w:rsidR="008553EA">
              <w:rPr>
                <w:rFonts w:ascii="Arial" w:hAnsi="Arial"/>
                <w:sz w:val="22"/>
                <w:szCs w:val="22"/>
              </w:rPr>
              <w:t>3</w:t>
            </w:r>
            <w:r w:rsidRPr="00E246D0">
              <w:rPr>
                <w:rFonts w:ascii="Arial" w:hAnsi="Arial"/>
                <w:sz w:val="22"/>
                <w:szCs w:val="22"/>
              </w:rPr>
              <w:t xml:space="preserve"> r. w kwocie </w:t>
            </w:r>
            <w:r w:rsidR="008553EA">
              <w:rPr>
                <w:rFonts w:ascii="Arial" w:hAnsi="Arial"/>
                <w:sz w:val="22"/>
                <w:szCs w:val="22"/>
              </w:rPr>
              <w:t>46.472,96</w:t>
            </w:r>
            <w:r w:rsidR="007877D2">
              <w:rPr>
                <w:rFonts w:ascii="Arial" w:hAnsi="Arial"/>
                <w:sz w:val="22"/>
                <w:szCs w:val="22"/>
              </w:rPr>
              <w:t xml:space="preserve"> </w:t>
            </w:r>
            <w:r w:rsidRPr="00E246D0">
              <w:rPr>
                <w:rFonts w:ascii="Arial" w:hAnsi="Arial"/>
                <w:sz w:val="22"/>
                <w:szCs w:val="22"/>
              </w:rPr>
              <w:t>zł.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22A6A" w:rsidRPr="00611EBF" w:rsidRDefault="00922A6A" w:rsidP="00611EBF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otrzymanych przez jednostkę gwarancji i poręczeń niewykazanych w</w:t>
            </w:r>
            <w:r w:rsid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7008E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1E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struktury przychodów ze sprzedaży</w:t>
            </w:r>
          </w:p>
        </w:tc>
      </w:tr>
      <w:tr w:rsidR="00044C0C" w:rsidTr="008D219A">
        <w:trPr>
          <w:trHeight w:val="2423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1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21"/>
              <w:gridCol w:w="1644"/>
            </w:tblGrid>
            <w:tr w:rsidR="00B722B3" w:rsidRPr="00B722B3" w:rsidTr="00611EBF">
              <w:trPr>
                <w:jc w:val="center"/>
              </w:trPr>
              <w:tc>
                <w:tcPr>
                  <w:tcW w:w="5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Dotacja z Gminy Miasta Tychy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D42D2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2.</w:t>
                  </w:r>
                  <w:r w:rsidR="00B722B3" w:rsidRPr="008553EA">
                    <w:rPr>
                      <w:rFonts w:ascii="Arial" w:hAnsi="Arial"/>
                      <w:sz w:val="20"/>
                      <w:szCs w:val="22"/>
                    </w:rPr>
                    <w:t>875</w:t>
                  </w: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.</w:t>
                  </w:r>
                  <w:r w:rsidR="00B722B3" w:rsidRPr="008553EA">
                    <w:rPr>
                      <w:rFonts w:ascii="Arial" w:hAnsi="Arial"/>
                      <w:sz w:val="20"/>
                      <w:szCs w:val="22"/>
                    </w:rPr>
                    <w:t>987</w:t>
                  </w: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,</w:t>
                  </w:r>
                  <w:r w:rsidR="00B722B3" w:rsidRPr="008553EA">
                    <w:rPr>
                      <w:rFonts w:ascii="Arial" w:hAnsi="Arial"/>
                      <w:sz w:val="20"/>
                      <w:szCs w:val="22"/>
                    </w:rPr>
                    <w:t>50</w:t>
                  </w:r>
                </w:p>
              </w:tc>
            </w:tr>
            <w:tr w:rsidR="00B722B3" w:rsidRPr="00B722B3" w:rsidTr="00820B08">
              <w:trPr>
                <w:trHeight w:val="300"/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820B08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Dotacja z Ministerstwa Kultury i Dziedzictwa Narodowego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B722B3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727</w:t>
                  </w:r>
                  <w:r w:rsidR="003F57EE" w:rsidRPr="008553EA">
                    <w:rPr>
                      <w:rFonts w:ascii="Arial" w:hAnsi="Arial"/>
                      <w:sz w:val="20"/>
                      <w:szCs w:val="22"/>
                    </w:rPr>
                    <w:t>.</w:t>
                  </w:r>
                  <w:r w:rsidR="00922FF7" w:rsidRPr="008553EA">
                    <w:rPr>
                      <w:rFonts w:ascii="Arial" w:hAnsi="Arial"/>
                      <w:sz w:val="20"/>
                      <w:szCs w:val="22"/>
                    </w:rPr>
                    <w:t>000</w:t>
                  </w:r>
                  <w:r w:rsidR="003F57EE" w:rsidRPr="008553EA">
                    <w:rPr>
                      <w:rFonts w:ascii="Arial" w:hAnsi="Arial"/>
                      <w:sz w:val="20"/>
                      <w:szCs w:val="22"/>
                    </w:rPr>
                    <w:t>,00</w:t>
                  </w:r>
                </w:p>
              </w:tc>
            </w:tr>
            <w:tr w:rsidR="00B722B3" w:rsidRPr="00B722B3" w:rsidTr="00820B08">
              <w:trPr>
                <w:trHeight w:val="150"/>
                <w:jc w:val="center"/>
              </w:trPr>
              <w:tc>
                <w:tcPr>
                  <w:tcW w:w="552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20B08" w:rsidRPr="00611EBF" w:rsidRDefault="00820B08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>
                    <w:rPr>
                      <w:rFonts w:ascii="Arial" w:hAnsi="Arial"/>
                      <w:sz w:val="20"/>
                      <w:szCs w:val="22"/>
                    </w:rPr>
                    <w:t>Fundusz Wsparcia Kultury z Instytutu Muzyki i Tańca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20B08" w:rsidRPr="008553EA" w:rsidRDefault="00922FF7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0</w:t>
                  </w:r>
                  <w:r w:rsidR="00820B08" w:rsidRPr="008553EA">
                    <w:rPr>
                      <w:rFonts w:ascii="Arial" w:hAnsi="Arial"/>
                      <w:sz w:val="20"/>
                      <w:szCs w:val="22"/>
                    </w:rPr>
                    <w:t>,0</w:t>
                  </w: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0</w:t>
                  </w:r>
                </w:p>
              </w:tc>
            </w:tr>
            <w:tr w:rsidR="00B722B3" w:rsidRPr="00B722B3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Przychody ze sprzedaży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B722B3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174</w:t>
                  </w:r>
                  <w:r w:rsidR="003937F2" w:rsidRPr="008553EA">
                    <w:rPr>
                      <w:rFonts w:ascii="Arial" w:hAnsi="Arial"/>
                      <w:sz w:val="20"/>
                      <w:szCs w:val="22"/>
                    </w:rPr>
                    <w:t>.</w:t>
                  </w:r>
                  <w:r w:rsidR="008553EA" w:rsidRPr="008553EA">
                    <w:rPr>
                      <w:rFonts w:ascii="Arial" w:hAnsi="Arial"/>
                      <w:sz w:val="20"/>
                      <w:szCs w:val="22"/>
                    </w:rPr>
                    <w:t>954,65</w:t>
                  </w:r>
                </w:p>
              </w:tc>
            </w:tr>
            <w:tr w:rsidR="00B722B3" w:rsidRPr="00B722B3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Pozostałe przychody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8553EA" w:rsidRDefault="008553EA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8553EA">
                    <w:rPr>
                      <w:rFonts w:ascii="Arial" w:hAnsi="Arial"/>
                      <w:sz w:val="20"/>
                      <w:szCs w:val="22"/>
                    </w:rPr>
                    <w:t>40.771,14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A6A" w:rsidRDefault="00922A6A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Pr="000C485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851">
              <w:rPr>
                <w:rFonts w:ascii="Arial" w:hAnsi="Arial" w:cs="Arial"/>
                <w:sz w:val="22"/>
                <w:szCs w:val="22"/>
              </w:rPr>
              <w:t>Przeciętne zatrudnienie w 20</w:t>
            </w:r>
            <w:r w:rsidR="00D42D2C">
              <w:rPr>
                <w:rFonts w:ascii="Arial" w:hAnsi="Arial" w:cs="Arial"/>
                <w:sz w:val="22"/>
                <w:szCs w:val="22"/>
              </w:rPr>
              <w:t>2</w:t>
            </w:r>
            <w:r w:rsidR="00893A5E">
              <w:rPr>
                <w:rFonts w:ascii="Arial" w:hAnsi="Arial" w:cs="Arial"/>
                <w:sz w:val="22"/>
                <w:szCs w:val="22"/>
              </w:rPr>
              <w:t>2</w:t>
            </w:r>
            <w:r w:rsidRPr="000C4851">
              <w:rPr>
                <w:rFonts w:ascii="Arial" w:hAnsi="Arial" w:cs="Arial"/>
                <w:sz w:val="22"/>
                <w:szCs w:val="22"/>
              </w:rPr>
              <w:t xml:space="preserve"> r. wyniosło </w:t>
            </w:r>
            <w:r w:rsidR="003E796E"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0C4851">
              <w:rPr>
                <w:rFonts w:ascii="Arial" w:hAnsi="Arial" w:cs="Arial"/>
                <w:sz w:val="22"/>
                <w:szCs w:val="22"/>
              </w:rPr>
              <w:t xml:space="preserve">osób, co stanowi </w:t>
            </w:r>
            <w:r w:rsidR="003E796E">
              <w:rPr>
                <w:rFonts w:ascii="Arial" w:hAnsi="Arial" w:cs="Arial"/>
                <w:sz w:val="22"/>
                <w:szCs w:val="22"/>
              </w:rPr>
              <w:t>14</w:t>
            </w:r>
            <w:r w:rsidRPr="000C4851">
              <w:rPr>
                <w:rFonts w:ascii="Arial" w:hAnsi="Arial" w:cs="Arial"/>
                <w:sz w:val="22"/>
                <w:szCs w:val="22"/>
              </w:rPr>
              <w:t>,</w:t>
            </w:r>
            <w:r w:rsidR="003E796E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Pr="000C4851">
              <w:rPr>
                <w:rFonts w:ascii="Arial" w:hAnsi="Arial" w:cs="Arial"/>
                <w:sz w:val="22"/>
                <w:szCs w:val="22"/>
              </w:rPr>
              <w:t>etatu przeliczeniowego w tym:</w:t>
            </w:r>
          </w:p>
          <w:p w:rsidR="00044C0C" w:rsidRPr="000C485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851">
              <w:rPr>
                <w:rFonts w:ascii="Arial" w:hAnsi="Arial" w:cs="Arial"/>
                <w:sz w:val="22"/>
                <w:szCs w:val="22"/>
              </w:rPr>
              <w:t xml:space="preserve">Dyrekcja – </w:t>
            </w:r>
            <w:r w:rsidR="003E796E">
              <w:rPr>
                <w:rFonts w:ascii="Arial" w:hAnsi="Arial" w:cs="Arial"/>
                <w:sz w:val="22"/>
                <w:szCs w:val="22"/>
              </w:rPr>
              <w:t>2</w:t>
            </w:r>
            <w:r w:rsidRPr="000C4851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  <w:p w:rsidR="00044C0C" w:rsidRPr="000C485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851">
              <w:rPr>
                <w:rFonts w:ascii="Arial" w:hAnsi="Arial" w:cs="Arial"/>
                <w:sz w:val="22"/>
                <w:szCs w:val="22"/>
              </w:rPr>
              <w:t xml:space="preserve">Pracownicy merytoryczni – </w:t>
            </w:r>
            <w:r w:rsidR="003E796E">
              <w:rPr>
                <w:rFonts w:ascii="Arial" w:hAnsi="Arial" w:cs="Arial"/>
                <w:sz w:val="22"/>
                <w:szCs w:val="22"/>
              </w:rPr>
              <w:t>22</w:t>
            </w:r>
            <w:r w:rsidRPr="000C4851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74E78">
              <w:rPr>
                <w:rFonts w:ascii="Arial" w:hAnsi="Arial" w:cs="Arial"/>
                <w:sz w:val="22"/>
                <w:szCs w:val="22"/>
              </w:rPr>
              <w:t>soby</w:t>
            </w:r>
          </w:p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851">
              <w:rPr>
                <w:rFonts w:ascii="Arial" w:hAnsi="Arial" w:cs="Arial"/>
                <w:sz w:val="22"/>
                <w:szCs w:val="22"/>
              </w:rPr>
              <w:t xml:space="preserve">Pracownicy administracyjni – </w:t>
            </w:r>
            <w:r w:rsidR="003E796E">
              <w:rPr>
                <w:rFonts w:ascii="Arial" w:hAnsi="Arial" w:cs="Arial"/>
                <w:sz w:val="22"/>
                <w:szCs w:val="22"/>
              </w:rPr>
              <w:t>1</w:t>
            </w:r>
            <w:r w:rsidRPr="000C4851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 w:rsidR="003E796E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922A6A" w:rsidRDefault="00922A6A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19A" w:rsidRDefault="008D219A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19A" w:rsidRDefault="008D219A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wysokość odpisów aktualizujących wartość zapasów</w:t>
            </w:r>
          </w:p>
        </w:tc>
      </w:tr>
      <w:tr w:rsidR="00044C0C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044C0C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poszczególnych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pozycji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przychodów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kosztów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nadzwyczajnej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które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wystąpiły incydentalnie</w:t>
            </w:r>
          </w:p>
        </w:tc>
      </w:tr>
      <w:tr w:rsidR="00044C0C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044C0C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A6A" w:rsidRPr="006374EB" w:rsidRDefault="00922A6A" w:rsidP="00550EA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72EF" w:rsidRPr="006374EB" w:rsidRDefault="00716DB6" w:rsidP="00F772E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74EB">
              <w:rPr>
                <w:rFonts w:ascii="Arial" w:hAnsi="Arial" w:cs="Arial"/>
                <w:sz w:val="22"/>
                <w:szCs w:val="22"/>
              </w:rPr>
              <w:t>Zobowiązanie wobec Gminy</w:t>
            </w:r>
            <w:r w:rsidR="00F772EF" w:rsidRPr="006374EB">
              <w:rPr>
                <w:rFonts w:ascii="Arial" w:hAnsi="Arial" w:cs="Arial"/>
                <w:sz w:val="22"/>
                <w:szCs w:val="22"/>
              </w:rPr>
              <w:t xml:space="preserve"> Miasta</w:t>
            </w:r>
            <w:r w:rsidRPr="006374EB">
              <w:rPr>
                <w:rFonts w:ascii="Arial" w:hAnsi="Arial" w:cs="Arial"/>
                <w:sz w:val="22"/>
                <w:szCs w:val="22"/>
              </w:rPr>
              <w:t xml:space="preserve"> Tychy z tytułu zwrotu dotacji w kwocie </w:t>
            </w:r>
            <w:r w:rsidR="00B722B3" w:rsidRPr="006374EB">
              <w:rPr>
                <w:rFonts w:ascii="Arial" w:hAnsi="Arial" w:cs="Arial"/>
                <w:sz w:val="22"/>
                <w:szCs w:val="22"/>
              </w:rPr>
              <w:t>3</w:t>
            </w:r>
            <w:r w:rsidR="008553EA" w:rsidRPr="006374EB">
              <w:rPr>
                <w:rFonts w:ascii="Arial" w:hAnsi="Arial" w:cs="Arial"/>
                <w:sz w:val="22"/>
                <w:szCs w:val="22"/>
              </w:rPr>
              <w:t>.</w:t>
            </w:r>
            <w:r w:rsidR="00B722B3" w:rsidRPr="006374EB">
              <w:rPr>
                <w:rFonts w:ascii="Arial" w:hAnsi="Arial" w:cs="Arial"/>
                <w:sz w:val="22"/>
                <w:szCs w:val="22"/>
              </w:rPr>
              <w:t>794,36</w:t>
            </w:r>
            <w:r w:rsidRPr="006374EB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F772EF" w:rsidRPr="006374EB">
              <w:rPr>
                <w:rFonts w:ascii="Arial" w:hAnsi="Arial" w:cs="Arial"/>
                <w:sz w:val="22"/>
                <w:szCs w:val="22"/>
              </w:rPr>
              <w:t xml:space="preserve"> zaprezentowano w bilansie w poz. B.III.3.i. </w:t>
            </w:r>
          </w:p>
          <w:p w:rsidR="00C1014E" w:rsidRDefault="00F772EF" w:rsidP="00550EA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74EB">
              <w:rPr>
                <w:rFonts w:ascii="Arial" w:hAnsi="Arial" w:cs="Arial"/>
                <w:sz w:val="22"/>
                <w:szCs w:val="22"/>
              </w:rPr>
              <w:t xml:space="preserve">Na 31 grudnia 2022 r. nie wystąpiły </w:t>
            </w:r>
            <w:r w:rsidR="00D42D2C" w:rsidRPr="006374EB">
              <w:rPr>
                <w:rFonts w:ascii="Arial" w:hAnsi="Arial" w:cs="Arial"/>
                <w:sz w:val="22"/>
                <w:szCs w:val="22"/>
              </w:rPr>
              <w:t>zobowiązani</w:t>
            </w:r>
            <w:r w:rsidRPr="006374EB">
              <w:rPr>
                <w:rFonts w:ascii="Arial" w:hAnsi="Arial" w:cs="Arial"/>
                <w:sz w:val="22"/>
                <w:szCs w:val="22"/>
              </w:rPr>
              <w:t>a</w:t>
            </w:r>
            <w:r w:rsidR="00D42D2C" w:rsidRPr="006374EB">
              <w:rPr>
                <w:rFonts w:ascii="Arial" w:hAnsi="Arial" w:cs="Arial"/>
                <w:sz w:val="22"/>
                <w:szCs w:val="22"/>
              </w:rPr>
              <w:t xml:space="preserve"> wobec </w:t>
            </w:r>
            <w:r w:rsidR="00F62BC9" w:rsidRPr="006374EB">
              <w:rPr>
                <w:rFonts w:ascii="Arial" w:hAnsi="Arial" w:cs="Arial"/>
                <w:sz w:val="22"/>
                <w:szCs w:val="22"/>
              </w:rPr>
              <w:t>Ministerstwa Kultury i Dziedzictwa Narodowego</w:t>
            </w:r>
            <w:r w:rsidR="00D42D2C" w:rsidRPr="006374EB">
              <w:rPr>
                <w:rFonts w:ascii="Arial" w:hAnsi="Arial" w:cs="Arial"/>
                <w:sz w:val="22"/>
                <w:szCs w:val="22"/>
              </w:rPr>
              <w:t xml:space="preserve"> z tytułu zwrotu dotacji </w:t>
            </w:r>
            <w:r w:rsidRPr="006374EB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D42D2C" w:rsidRPr="006374EB">
              <w:rPr>
                <w:rFonts w:ascii="Arial" w:hAnsi="Arial" w:cs="Arial"/>
                <w:sz w:val="22"/>
                <w:szCs w:val="22"/>
              </w:rPr>
              <w:t>zobowiązani</w:t>
            </w:r>
            <w:r w:rsidRPr="006374EB">
              <w:rPr>
                <w:rFonts w:ascii="Arial" w:hAnsi="Arial" w:cs="Arial"/>
                <w:sz w:val="22"/>
                <w:szCs w:val="22"/>
              </w:rPr>
              <w:t>a</w:t>
            </w:r>
            <w:r w:rsidR="00D42D2C" w:rsidRPr="00637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6AE">
              <w:rPr>
                <w:rFonts w:ascii="Arial" w:hAnsi="Arial" w:cs="Arial"/>
                <w:sz w:val="22"/>
                <w:szCs w:val="22"/>
              </w:rPr>
              <w:t>pochodzące z Funduszu Promocji Kultury</w:t>
            </w:r>
            <w:r w:rsidR="00D42D2C" w:rsidRPr="006374EB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Pr="006374EB">
              <w:rPr>
                <w:rFonts w:ascii="Arial" w:hAnsi="Arial" w:cs="Arial"/>
                <w:sz w:val="22"/>
                <w:szCs w:val="22"/>
              </w:rPr>
              <w:t> </w:t>
            </w:r>
            <w:r w:rsidR="00D42D2C" w:rsidRPr="006374EB">
              <w:rPr>
                <w:rFonts w:ascii="Arial" w:hAnsi="Arial" w:cs="Arial"/>
                <w:sz w:val="22"/>
                <w:szCs w:val="22"/>
              </w:rPr>
              <w:t>tytułu zwrotu wsparcia</w:t>
            </w:r>
            <w:r w:rsidRPr="006374E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90562" w:rsidRDefault="00590562" w:rsidP="00550EA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Zobowiązania wobec kontrahentów o okresie wymagalności do 12 miesięcy wynoszą 36.250,42 zł., które zaprezentowano w bilansie w poz. B.III.3.d</w:t>
            </w:r>
          </w:p>
          <w:p w:rsidR="00590562" w:rsidRPr="006374EB" w:rsidRDefault="00590562" w:rsidP="00550EA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Pozycja B.III.3.g obejmuje zobowiązani</w:t>
            </w:r>
            <w:r w:rsidR="007866A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wobec Urzędu Skarbowego </w:t>
            </w:r>
            <w:r w:rsidR="007866AE">
              <w:rPr>
                <w:rFonts w:ascii="Arial" w:hAnsi="Arial" w:cs="Arial"/>
                <w:sz w:val="22"/>
                <w:szCs w:val="22"/>
              </w:rPr>
              <w:t xml:space="preserve">na kwotę 29,00 zł. </w:t>
            </w:r>
            <w:r>
              <w:rPr>
                <w:rFonts w:ascii="Arial" w:hAnsi="Arial" w:cs="Arial"/>
                <w:sz w:val="22"/>
                <w:szCs w:val="22"/>
              </w:rPr>
              <w:t>oraz wobec Zakładu Ubezpieczeń Społecznych</w:t>
            </w:r>
            <w:r w:rsidR="007866AE">
              <w:rPr>
                <w:rFonts w:ascii="Arial" w:hAnsi="Arial" w:cs="Arial"/>
                <w:sz w:val="22"/>
                <w:szCs w:val="22"/>
              </w:rPr>
              <w:t xml:space="preserve"> na kwotę 21,73 zł</w:t>
            </w:r>
            <w:r>
              <w:rPr>
                <w:rFonts w:ascii="Arial" w:hAnsi="Arial" w:cs="Arial"/>
                <w:sz w:val="22"/>
                <w:szCs w:val="22"/>
              </w:rPr>
              <w:t>. Listę płac z tytułu zwrotu składek za 2022 r. w kwocie 190,75 zł. zaprezentowano w bilansie w poz. B.III.3.h.</w:t>
            </w:r>
          </w:p>
          <w:p w:rsidR="008D219A" w:rsidRDefault="008D219A" w:rsidP="00550EA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Default="00716DB6" w:rsidP="00550EA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14E">
              <w:rPr>
                <w:rFonts w:ascii="Arial" w:hAnsi="Arial" w:cs="Arial"/>
                <w:sz w:val="22"/>
                <w:szCs w:val="22"/>
              </w:rPr>
              <w:t xml:space="preserve">Należności </w:t>
            </w:r>
            <w:r w:rsidR="00F772EF">
              <w:rPr>
                <w:rFonts w:ascii="Arial" w:hAnsi="Arial" w:cs="Arial"/>
                <w:sz w:val="22"/>
                <w:szCs w:val="22"/>
              </w:rPr>
              <w:t xml:space="preserve">z tytułu korekty centralnego ogrzewania z Miejskiego Zarządu Budynków Mieszkalnych w Tychach </w:t>
            </w:r>
            <w:r w:rsidR="00C1014E" w:rsidRPr="00C1014E">
              <w:rPr>
                <w:rFonts w:ascii="Arial" w:hAnsi="Arial" w:cs="Arial"/>
                <w:sz w:val="22"/>
                <w:szCs w:val="22"/>
              </w:rPr>
              <w:t xml:space="preserve">w kwocie </w:t>
            </w:r>
            <w:r w:rsidR="00F772EF">
              <w:rPr>
                <w:rFonts w:ascii="Arial" w:hAnsi="Arial" w:cs="Arial"/>
                <w:sz w:val="22"/>
                <w:szCs w:val="22"/>
              </w:rPr>
              <w:t>6</w:t>
            </w:r>
            <w:r w:rsidR="00BD02C9">
              <w:rPr>
                <w:rFonts w:ascii="Arial" w:hAnsi="Arial" w:cs="Arial"/>
                <w:sz w:val="22"/>
                <w:szCs w:val="22"/>
              </w:rPr>
              <w:t>.</w:t>
            </w:r>
            <w:r w:rsidR="00F772EF">
              <w:rPr>
                <w:rFonts w:ascii="Arial" w:hAnsi="Arial" w:cs="Arial"/>
                <w:sz w:val="22"/>
                <w:szCs w:val="22"/>
              </w:rPr>
              <w:t>479</w:t>
            </w:r>
            <w:r w:rsidR="00C1014E" w:rsidRPr="00C1014E">
              <w:rPr>
                <w:rFonts w:ascii="Arial" w:hAnsi="Arial" w:cs="Arial"/>
                <w:sz w:val="22"/>
                <w:szCs w:val="22"/>
              </w:rPr>
              <w:t>,</w:t>
            </w:r>
            <w:r w:rsidR="00F772EF">
              <w:rPr>
                <w:rFonts w:ascii="Arial" w:hAnsi="Arial" w:cs="Arial"/>
                <w:sz w:val="22"/>
                <w:szCs w:val="22"/>
              </w:rPr>
              <w:t>79</w:t>
            </w:r>
            <w:r w:rsidR="00C1014E" w:rsidRPr="00C1014E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62BC9">
              <w:rPr>
                <w:rFonts w:ascii="Arial" w:hAnsi="Arial" w:cs="Arial"/>
                <w:sz w:val="22"/>
                <w:szCs w:val="22"/>
              </w:rPr>
              <w:t>.</w:t>
            </w:r>
            <w:r w:rsidR="00F772EF">
              <w:rPr>
                <w:rFonts w:ascii="Arial" w:hAnsi="Arial" w:cs="Arial"/>
                <w:sz w:val="22"/>
                <w:szCs w:val="22"/>
              </w:rPr>
              <w:t xml:space="preserve"> zaprezentowano w bilansie B.II.3.c. Należności</w:t>
            </w:r>
            <w:r w:rsidR="00F62B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2C9">
              <w:rPr>
                <w:rFonts w:ascii="Arial" w:hAnsi="Arial" w:cs="Arial"/>
                <w:sz w:val="22"/>
                <w:szCs w:val="22"/>
              </w:rPr>
              <w:t xml:space="preserve">od Śródmieście Sp. z o.o. w kwocie </w:t>
            </w:r>
            <w:r w:rsidR="00F772EF">
              <w:rPr>
                <w:rFonts w:ascii="Arial" w:hAnsi="Arial" w:cs="Arial"/>
                <w:sz w:val="22"/>
                <w:szCs w:val="22"/>
              </w:rPr>
              <w:t>983,39</w:t>
            </w:r>
            <w:r w:rsidR="00BD02C9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680915">
              <w:rPr>
                <w:rFonts w:ascii="Arial" w:hAnsi="Arial" w:cs="Arial"/>
                <w:sz w:val="22"/>
                <w:szCs w:val="22"/>
              </w:rPr>
              <w:t>.</w:t>
            </w:r>
            <w:r w:rsidR="00F772E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D02C9">
              <w:rPr>
                <w:rFonts w:ascii="Arial" w:hAnsi="Arial" w:cs="Arial"/>
                <w:sz w:val="22"/>
                <w:szCs w:val="22"/>
              </w:rPr>
              <w:t xml:space="preserve"> od</w:t>
            </w:r>
            <w:r w:rsidR="00F77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77D2">
              <w:rPr>
                <w:rFonts w:ascii="Arial" w:hAnsi="Arial" w:cs="Arial"/>
                <w:sz w:val="22"/>
                <w:szCs w:val="22"/>
              </w:rPr>
              <w:t>Ticketmaster</w:t>
            </w:r>
            <w:proofErr w:type="spellEnd"/>
            <w:r w:rsidR="007877D2">
              <w:rPr>
                <w:rFonts w:ascii="Arial" w:hAnsi="Arial" w:cs="Arial"/>
                <w:sz w:val="22"/>
                <w:szCs w:val="22"/>
              </w:rPr>
              <w:t xml:space="preserve"> Sp.</w:t>
            </w:r>
            <w:r w:rsidR="002C6524">
              <w:rPr>
                <w:rFonts w:ascii="Arial" w:hAnsi="Arial" w:cs="Arial"/>
                <w:sz w:val="22"/>
                <w:szCs w:val="22"/>
              </w:rPr>
              <w:t> </w:t>
            </w:r>
            <w:r w:rsidR="007877D2">
              <w:rPr>
                <w:rFonts w:ascii="Arial" w:hAnsi="Arial" w:cs="Arial"/>
                <w:sz w:val="22"/>
                <w:szCs w:val="22"/>
              </w:rPr>
              <w:t>z o.o. w</w:t>
            </w:r>
            <w:r w:rsidR="00F772EF">
              <w:rPr>
                <w:rFonts w:ascii="Arial" w:hAnsi="Arial" w:cs="Arial"/>
                <w:sz w:val="22"/>
                <w:szCs w:val="22"/>
              </w:rPr>
              <w:t> </w:t>
            </w:r>
            <w:r w:rsidR="007877D2">
              <w:rPr>
                <w:rFonts w:ascii="Arial" w:hAnsi="Arial" w:cs="Arial"/>
                <w:sz w:val="22"/>
                <w:szCs w:val="22"/>
              </w:rPr>
              <w:t xml:space="preserve">kwocie </w:t>
            </w:r>
            <w:r w:rsidR="00F772EF">
              <w:rPr>
                <w:rFonts w:ascii="Arial" w:hAnsi="Arial" w:cs="Arial"/>
                <w:sz w:val="22"/>
                <w:szCs w:val="22"/>
              </w:rPr>
              <w:t>4.140,</w:t>
            </w:r>
            <w:r w:rsidR="00680915">
              <w:rPr>
                <w:rFonts w:ascii="Arial" w:hAnsi="Arial" w:cs="Arial"/>
                <w:sz w:val="22"/>
                <w:szCs w:val="22"/>
              </w:rPr>
              <w:t>0</w:t>
            </w:r>
            <w:r w:rsidR="007877D2">
              <w:rPr>
                <w:rFonts w:ascii="Arial" w:hAnsi="Arial" w:cs="Arial"/>
                <w:sz w:val="22"/>
                <w:szCs w:val="22"/>
              </w:rPr>
              <w:t>0 zł</w:t>
            </w:r>
            <w:r w:rsidR="00F62B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7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14E">
              <w:rPr>
                <w:rFonts w:ascii="Arial" w:hAnsi="Arial" w:cs="Arial"/>
                <w:sz w:val="22"/>
                <w:szCs w:val="22"/>
              </w:rPr>
              <w:t>wykazano w bilansie w pozycji B.II.</w:t>
            </w:r>
            <w:r w:rsidR="00F772EF">
              <w:rPr>
                <w:rFonts w:ascii="Arial" w:hAnsi="Arial" w:cs="Arial"/>
                <w:sz w:val="22"/>
                <w:szCs w:val="22"/>
              </w:rPr>
              <w:t>3</w:t>
            </w:r>
            <w:r w:rsidRPr="00C1014E">
              <w:rPr>
                <w:rFonts w:ascii="Arial" w:hAnsi="Arial" w:cs="Arial"/>
                <w:sz w:val="22"/>
                <w:szCs w:val="22"/>
              </w:rPr>
              <w:t>.a</w:t>
            </w:r>
            <w:r w:rsidR="006A02B6" w:rsidRPr="00C101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2BC9" w:rsidRDefault="006374EB" w:rsidP="00550EA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Należności od Urzędu Skarbowego z tytułu podatku VAT w kwocie 90.340,27 zł. i n</w:t>
            </w:r>
            <w:r w:rsidR="00F62BC9">
              <w:rPr>
                <w:rFonts w:ascii="Arial" w:hAnsi="Arial" w:cs="Arial"/>
                <w:sz w:val="22"/>
                <w:szCs w:val="22"/>
              </w:rPr>
              <w:t xml:space="preserve">ależności od Zakładu Ubezpieczeń Społecznych w kwocie </w:t>
            </w:r>
            <w:r>
              <w:rPr>
                <w:rFonts w:ascii="Arial" w:hAnsi="Arial" w:cs="Arial"/>
                <w:sz w:val="22"/>
                <w:szCs w:val="22"/>
              </w:rPr>
              <w:t>590,19</w:t>
            </w:r>
            <w:r w:rsidR="00F62BC9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957BE9">
              <w:rPr>
                <w:rFonts w:ascii="Arial" w:hAnsi="Arial" w:cs="Arial"/>
                <w:sz w:val="22"/>
                <w:szCs w:val="22"/>
              </w:rPr>
              <w:t>.</w:t>
            </w:r>
            <w:r w:rsidR="00F62BC9">
              <w:rPr>
                <w:rFonts w:ascii="Arial" w:hAnsi="Arial" w:cs="Arial"/>
                <w:sz w:val="22"/>
                <w:szCs w:val="22"/>
              </w:rPr>
              <w:t xml:space="preserve"> wykazano w bilansie w pozycji B.II.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62BC9">
              <w:rPr>
                <w:rFonts w:ascii="Arial" w:hAnsi="Arial" w:cs="Arial"/>
                <w:sz w:val="22"/>
                <w:szCs w:val="22"/>
              </w:rPr>
              <w:t>.b.</w:t>
            </w:r>
          </w:p>
          <w:p w:rsidR="00922A6A" w:rsidRDefault="00922A6A" w:rsidP="006374EB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D42D2C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niż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wymienione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powyżej,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jeżeli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mogłyby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istotny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sposób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wpłynąć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="00922A6A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ocenę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majątkowej i finansowej oraz wynik finansowy jednostki</w:t>
            </w:r>
          </w:p>
        </w:tc>
      </w:tr>
      <w:tr w:rsidR="00044C0C" w:rsidTr="00D800E5">
        <w:trPr>
          <w:trHeight w:val="365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60E" w:rsidRDefault="0069760E" w:rsidP="0069760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7629E">
              <w:rPr>
                <w:rFonts w:ascii="Arial" w:hAnsi="Arial"/>
                <w:sz w:val="22"/>
                <w:szCs w:val="22"/>
              </w:rPr>
              <w:t xml:space="preserve">Rozliczenie głównych pozycji podstaw opodatkowania podatkiem dochodowym od wyniku finansowego </w:t>
            </w:r>
            <w:r w:rsidR="002334C0">
              <w:rPr>
                <w:rFonts w:ascii="Arial" w:hAnsi="Arial"/>
                <w:sz w:val="22"/>
                <w:szCs w:val="22"/>
              </w:rPr>
              <w:t>2022</w:t>
            </w:r>
          </w:p>
          <w:p w:rsidR="00922A6A" w:rsidRPr="0087629E" w:rsidRDefault="00922A6A" w:rsidP="0069760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524"/>
              <w:gridCol w:w="1769"/>
              <w:gridCol w:w="1769"/>
            </w:tblGrid>
            <w:tr w:rsidR="0069760E" w:rsidRPr="004600FA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69760E" w:rsidRPr="0087629E" w:rsidRDefault="0069760E" w:rsidP="006976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29E">
                    <w:rPr>
                      <w:rFonts w:ascii="Arial" w:hAnsi="Arial" w:cs="Arial"/>
                      <w:sz w:val="18"/>
                      <w:szCs w:val="18"/>
                    </w:rPr>
                    <w:t xml:space="preserve">Przychody wg. ksiąg będące podstawą opodatkowania 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69760E" w:rsidRPr="00411C97" w:rsidRDefault="006374EB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3.817.785,90</w:t>
                  </w:r>
                </w:p>
              </w:tc>
            </w:tr>
            <w:tr w:rsidR="0069760E" w:rsidRPr="004600FA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69760E" w:rsidRPr="0087629E" w:rsidRDefault="0069760E" w:rsidP="006976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29E">
                    <w:rPr>
                      <w:rFonts w:ascii="Arial" w:hAnsi="Arial" w:cs="Arial"/>
                      <w:sz w:val="18"/>
                      <w:szCs w:val="18"/>
                    </w:rPr>
                    <w:t>Koszty uzyskania przychodu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69760E" w:rsidRPr="00411C97" w:rsidRDefault="00561659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39.145,34</w:t>
                  </w:r>
                </w:p>
              </w:tc>
            </w:tr>
            <w:tr w:rsidR="0069760E" w:rsidRPr="004600FA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69760E" w:rsidRPr="0087629E" w:rsidRDefault="0069760E" w:rsidP="006976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29E">
                    <w:rPr>
                      <w:rFonts w:ascii="Arial" w:hAnsi="Arial" w:cs="Arial"/>
                      <w:sz w:val="18"/>
                      <w:szCs w:val="18"/>
                    </w:rPr>
                    <w:t>Koszty uzyskania przychodu wg. ksiąg rachunkowych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374EB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3.642.154,57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9760E" w:rsidRPr="004600FA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69760E" w:rsidRPr="0087629E" w:rsidRDefault="0069760E" w:rsidP="006976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29E">
                    <w:rPr>
                      <w:rFonts w:ascii="Arial" w:hAnsi="Arial" w:cs="Arial"/>
                      <w:sz w:val="18"/>
                      <w:szCs w:val="18"/>
                    </w:rPr>
                    <w:t>Pomniejszenie o koszty finansowane z dotacji</w:t>
                  </w:r>
                </w:p>
              </w:tc>
              <w:tc>
                <w:tcPr>
                  <w:tcW w:w="1769" w:type="dxa"/>
                </w:tcPr>
                <w:p w:rsidR="0069760E" w:rsidRPr="00411C97" w:rsidRDefault="00561659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3.602.987,50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9760E" w:rsidRPr="004600FA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69760E" w:rsidRPr="0087629E" w:rsidRDefault="0069760E" w:rsidP="006976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29E">
                    <w:rPr>
                      <w:rFonts w:ascii="Arial" w:hAnsi="Arial" w:cs="Arial"/>
                      <w:sz w:val="18"/>
                      <w:szCs w:val="18"/>
                    </w:rPr>
                    <w:t>Pomniejszenie o niewypłacone nagrody roczne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146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9760E" w:rsidRPr="004600FA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69760E" w:rsidRPr="0087629E" w:rsidRDefault="0069760E" w:rsidP="006976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29E">
                    <w:rPr>
                      <w:rFonts w:ascii="Arial" w:hAnsi="Arial" w:cs="Arial"/>
                      <w:sz w:val="18"/>
                      <w:szCs w:val="18"/>
                    </w:rPr>
                    <w:t>Pomniejszenie o niezapłacone składki ZUS</w:t>
                  </w:r>
                </w:p>
              </w:tc>
              <w:tc>
                <w:tcPr>
                  <w:tcW w:w="1769" w:type="dxa"/>
                </w:tcPr>
                <w:p w:rsidR="0069760E" w:rsidRPr="00411C97" w:rsidRDefault="00957BE9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21,73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9760E" w:rsidRPr="004600FA" w:rsidTr="0087629E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69760E" w:rsidRPr="0087629E" w:rsidRDefault="0069760E" w:rsidP="0069760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29E">
                    <w:rPr>
                      <w:rFonts w:ascii="Arial" w:hAnsi="Arial" w:cs="Arial"/>
                      <w:sz w:val="18"/>
                      <w:szCs w:val="18"/>
                    </w:rPr>
                    <w:t>Dochód</w:t>
                  </w:r>
                </w:p>
              </w:tc>
              <w:tc>
                <w:tcPr>
                  <w:tcW w:w="1769" w:type="dxa"/>
                </w:tcPr>
                <w:p w:rsidR="0069760E" w:rsidRPr="00411C97" w:rsidRDefault="0069760E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69760E" w:rsidRPr="00411C97" w:rsidRDefault="00EF5397" w:rsidP="006976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3.778.640,56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C0C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BB7222" w:rsidRDefault="00BB7222" w:rsidP="00CC17D3">
      <w:pPr>
        <w:pStyle w:val="Standard"/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222" w:rsidRPr="00CC17D3" w:rsidRDefault="00473604" w:rsidP="009164A5">
      <w:pPr>
        <w:pStyle w:val="Standard"/>
        <w:widowControl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82C89">
        <w:rPr>
          <w:rFonts w:ascii="Arial" w:hAnsi="Arial" w:cs="Arial"/>
          <w:sz w:val="16"/>
          <w:szCs w:val="16"/>
        </w:rPr>
        <w:t>4</w:t>
      </w:r>
      <w:r w:rsidR="00CC17D3" w:rsidRPr="00CC17D3">
        <w:rPr>
          <w:rFonts w:ascii="Arial" w:hAnsi="Arial" w:cs="Arial"/>
          <w:sz w:val="16"/>
          <w:szCs w:val="16"/>
        </w:rPr>
        <w:t>-03-202</w:t>
      </w:r>
      <w:r w:rsidR="009164A5">
        <w:rPr>
          <w:rFonts w:ascii="Arial" w:hAnsi="Arial" w:cs="Arial"/>
          <w:sz w:val="16"/>
          <w:szCs w:val="16"/>
        </w:rPr>
        <w:t>3</w:t>
      </w:r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>…………………………………………………………….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…………………………………………………………….</w:t>
      </w:r>
    </w:p>
    <w:p w:rsidR="0087629E" w:rsidRDefault="0087629E" w:rsidP="0087629E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Główny Księgowy Centrum Usług Wspólnych Miasta Tychy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 </w:t>
      </w: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Dyrektor Centrum Usług Wspólnych Miasta Tychy</w:t>
      </w:r>
    </w:p>
    <w:sectPr w:rsidR="0087629E" w:rsidSect="00207EDA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2C" w:rsidRDefault="00D6082C">
      <w:r>
        <w:separator/>
      </w:r>
    </w:p>
  </w:endnote>
  <w:endnote w:type="continuationSeparator" w:id="0">
    <w:p w:rsidR="00D6082C" w:rsidRDefault="00D6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  <w:sig w:usb0="00000000" w:usb1="00000000" w:usb2="00000000" w:usb3="00000000" w:csb0="00000000" w:csb1="00000000"/>
  </w:font>
  <w:font w:name="Times New Roman Gree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2C" w:rsidRDefault="00D6082C">
      <w:r>
        <w:rPr>
          <w:color w:val="000000"/>
        </w:rPr>
        <w:separator/>
      </w:r>
    </w:p>
  </w:footnote>
  <w:footnote w:type="continuationSeparator" w:id="0">
    <w:p w:rsidR="00D6082C" w:rsidRDefault="00D6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482B"/>
    <w:rsid w:val="00017EE8"/>
    <w:rsid w:val="00036022"/>
    <w:rsid w:val="00044C0C"/>
    <w:rsid w:val="000C0E9D"/>
    <w:rsid w:val="000C4851"/>
    <w:rsid w:val="000E4929"/>
    <w:rsid w:val="000E66D7"/>
    <w:rsid w:val="000F1463"/>
    <w:rsid w:val="00105C7C"/>
    <w:rsid w:val="00155AE2"/>
    <w:rsid w:val="001852AF"/>
    <w:rsid w:val="001A536C"/>
    <w:rsid w:val="002071D3"/>
    <w:rsid w:val="00207EDA"/>
    <w:rsid w:val="0021612A"/>
    <w:rsid w:val="002334C0"/>
    <w:rsid w:val="00251931"/>
    <w:rsid w:val="002640FA"/>
    <w:rsid w:val="002B4DB2"/>
    <w:rsid w:val="002C6524"/>
    <w:rsid w:val="002E4B66"/>
    <w:rsid w:val="003129D8"/>
    <w:rsid w:val="00324007"/>
    <w:rsid w:val="00374E78"/>
    <w:rsid w:val="00377795"/>
    <w:rsid w:val="00386093"/>
    <w:rsid w:val="00390679"/>
    <w:rsid w:val="003937F2"/>
    <w:rsid w:val="003A5473"/>
    <w:rsid w:val="003C4CCF"/>
    <w:rsid w:val="003E796E"/>
    <w:rsid w:val="003F57EE"/>
    <w:rsid w:val="00411C97"/>
    <w:rsid w:val="00473604"/>
    <w:rsid w:val="004816EB"/>
    <w:rsid w:val="004D3BA6"/>
    <w:rsid w:val="004D7C6B"/>
    <w:rsid w:val="0052265A"/>
    <w:rsid w:val="00525E12"/>
    <w:rsid w:val="00550EAF"/>
    <w:rsid w:val="005611C2"/>
    <w:rsid w:val="00561659"/>
    <w:rsid w:val="00590562"/>
    <w:rsid w:val="005B5ABC"/>
    <w:rsid w:val="00606B8F"/>
    <w:rsid w:val="00611EBF"/>
    <w:rsid w:val="006143FF"/>
    <w:rsid w:val="006374EB"/>
    <w:rsid w:val="00653A50"/>
    <w:rsid w:val="0066113A"/>
    <w:rsid w:val="00680915"/>
    <w:rsid w:val="00682C89"/>
    <w:rsid w:val="00695AC3"/>
    <w:rsid w:val="0069760E"/>
    <w:rsid w:val="006A02B6"/>
    <w:rsid w:val="006A36F8"/>
    <w:rsid w:val="006B4438"/>
    <w:rsid w:val="006F0B4F"/>
    <w:rsid w:val="006F1100"/>
    <w:rsid w:val="006F7132"/>
    <w:rsid w:val="007008E6"/>
    <w:rsid w:val="007038C4"/>
    <w:rsid w:val="00710BA3"/>
    <w:rsid w:val="00716DB6"/>
    <w:rsid w:val="007204B1"/>
    <w:rsid w:val="00772D2D"/>
    <w:rsid w:val="007866AE"/>
    <w:rsid w:val="007877D2"/>
    <w:rsid w:val="007A5325"/>
    <w:rsid w:val="007D1FF5"/>
    <w:rsid w:val="00801FDE"/>
    <w:rsid w:val="00820B08"/>
    <w:rsid w:val="00820C89"/>
    <w:rsid w:val="00834EAA"/>
    <w:rsid w:val="00837F04"/>
    <w:rsid w:val="00841B20"/>
    <w:rsid w:val="00841ECB"/>
    <w:rsid w:val="008553EA"/>
    <w:rsid w:val="008669EF"/>
    <w:rsid w:val="0087629E"/>
    <w:rsid w:val="00893A5E"/>
    <w:rsid w:val="00897A2A"/>
    <w:rsid w:val="008C233D"/>
    <w:rsid w:val="008C2456"/>
    <w:rsid w:val="008D219A"/>
    <w:rsid w:val="008E72DE"/>
    <w:rsid w:val="008F7775"/>
    <w:rsid w:val="009164A5"/>
    <w:rsid w:val="00922A6A"/>
    <w:rsid w:val="00922FF7"/>
    <w:rsid w:val="00924FBF"/>
    <w:rsid w:val="00957BE9"/>
    <w:rsid w:val="00993C56"/>
    <w:rsid w:val="009A341F"/>
    <w:rsid w:val="009C0801"/>
    <w:rsid w:val="00A22F03"/>
    <w:rsid w:val="00A63EE6"/>
    <w:rsid w:val="00AD394A"/>
    <w:rsid w:val="00B722B3"/>
    <w:rsid w:val="00B82168"/>
    <w:rsid w:val="00B97E01"/>
    <w:rsid w:val="00BB7222"/>
    <w:rsid w:val="00BD02C9"/>
    <w:rsid w:val="00BD0A7C"/>
    <w:rsid w:val="00C1014E"/>
    <w:rsid w:val="00C36D5D"/>
    <w:rsid w:val="00C66542"/>
    <w:rsid w:val="00CA3E87"/>
    <w:rsid w:val="00CC17D3"/>
    <w:rsid w:val="00CE0240"/>
    <w:rsid w:val="00CE1D1D"/>
    <w:rsid w:val="00CF798E"/>
    <w:rsid w:val="00D05B10"/>
    <w:rsid w:val="00D07D26"/>
    <w:rsid w:val="00D42D2C"/>
    <w:rsid w:val="00D44238"/>
    <w:rsid w:val="00D44F63"/>
    <w:rsid w:val="00D46042"/>
    <w:rsid w:val="00D6082C"/>
    <w:rsid w:val="00D800E5"/>
    <w:rsid w:val="00DB66E2"/>
    <w:rsid w:val="00DF6459"/>
    <w:rsid w:val="00E232DD"/>
    <w:rsid w:val="00E246D0"/>
    <w:rsid w:val="00E517E9"/>
    <w:rsid w:val="00E579F1"/>
    <w:rsid w:val="00E80B23"/>
    <w:rsid w:val="00ED21CC"/>
    <w:rsid w:val="00EF5397"/>
    <w:rsid w:val="00EF5F1B"/>
    <w:rsid w:val="00F04D17"/>
    <w:rsid w:val="00F50651"/>
    <w:rsid w:val="00F62BC9"/>
    <w:rsid w:val="00F648FF"/>
    <w:rsid w:val="00F75DAA"/>
    <w:rsid w:val="00F772EF"/>
    <w:rsid w:val="00F85801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EDA"/>
    <w:pPr>
      <w:suppressAutoHyphens/>
    </w:pPr>
  </w:style>
  <w:style w:type="paragraph" w:styleId="Nagwek7">
    <w:name w:val="heading 7"/>
    <w:basedOn w:val="Normalny"/>
    <w:next w:val="Normalny"/>
    <w:rsid w:val="00207EDA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EDA"/>
    <w:pPr>
      <w:widowControl/>
      <w:suppressAutoHyphens/>
      <w:textAlignment w:val="auto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Heading">
    <w:name w:val="Heading"/>
    <w:basedOn w:val="Standard"/>
    <w:next w:val="Textbody"/>
    <w:rsid w:val="00207E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207EDA"/>
    <w:pPr>
      <w:spacing w:after="140" w:line="276" w:lineRule="auto"/>
    </w:pPr>
  </w:style>
  <w:style w:type="paragraph" w:styleId="Lista">
    <w:name w:val="List"/>
    <w:basedOn w:val="Textbody"/>
    <w:rsid w:val="00207EDA"/>
    <w:rPr>
      <w:rFonts w:cs="Arial"/>
    </w:rPr>
  </w:style>
  <w:style w:type="paragraph" w:styleId="Legenda">
    <w:name w:val="caption"/>
    <w:basedOn w:val="Standard"/>
    <w:rsid w:val="00207ED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07EDA"/>
    <w:pPr>
      <w:suppressLineNumbers/>
    </w:pPr>
    <w:rPr>
      <w:rFonts w:cs="Arial"/>
    </w:rPr>
  </w:style>
  <w:style w:type="paragraph" w:customStyle="1" w:styleId="DocumentMap">
    <w:name w:val="DocumentMap"/>
    <w:rsid w:val="00207EDA"/>
    <w:pPr>
      <w:widowControl/>
      <w:suppressAutoHyphens/>
      <w:textAlignment w:val="auto"/>
    </w:pPr>
    <w:rPr>
      <w:rFonts w:ascii="Times New Roman" w:eastAsia="Times New Roman Cyr" w:hAnsi="Times New Roman" w:cs="Times New Roman Greek"/>
      <w:sz w:val="20"/>
      <w:lang w:eastAsia="pl-PL"/>
    </w:rPr>
  </w:style>
  <w:style w:type="paragraph" w:styleId="Akapitzlist">
    <w:name w:val="List Paragraph"/>
    <w:basedOn w:val="Normalny"/>
    <w:rsid w:val="00207EDA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rsid w:val="00207EDA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207EDA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table" w:styleId="Tabela-Siatka">
    <w:name w:val="Table Grid"/>
    <w:basedOn w:val="Standardowy"/>
    <w:uiPriority w:val="39"/>
    <w:rsid w:val="0069760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BA84-3F7F-4E6B-BAFA-B9015F2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2023-03-16T14:58:00Z</cp:lastPrinted>
  <dcterms:created xsi:type="dcterms:W3CDTF">2023-03-30T10:34:00Z</dcterms:created>
  <dcterms:modified xsi:type="dcterms:W3CDTF">2023-03-30T10:34:00Z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