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6A" w:rsidRDefault="00F2016A">
      <w:pPr>
        <w:shd w:val="clear" w:color="auto" w:fill="FFFFFF"/>
        <w:spacing w:before="240" w:line="240" w:lineRule="auto"/>
        <w:ind w:left="6560" w:right="420"/>
        <w:jc w:val="center"/>
        <w:rPr>
          <w:rFonts w:ascii="Calibri" w:eastAsia="Calibri" w:hAnsi="Calibri" w:cs="Calibri"/>
          <w:b/>
        </w:rPr>
      </w:pPr>
    </w:p>
    <w:p w:rsidR="00075894" w:rsidRPr="00EE72BF" w:rsidRDefault="00075894" w:rsidP="00075894">
      <w:pPr>
        <w:spacing w:line="240" w:lineRule="auto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B2557">
        <w:rPr>
          <w:sz w:val="16"/>
          <w:szCs w:val="16"/>
        </w:rPr>
        <w:t xml:space="preserve"> </w:t>
      </w:r>
      <w:r w:rsidRPr="00EE72BF">
        <w:rPr>
          <w:sz w:val="16"/>
          <w:szCs w:val="16"/>
        </w:rPr>
        <w:t>Zał. do Uchwały</w:t>
      </w:r>
    </w:p>
    <w:p w:rsidR="00075894" w:rsidRDefault="00075894" w:rsidP="0007589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E72BF">
        <w:rPr>
          <w:sz w:val="16"/>
          <w:szCs w:val="16"/>
        </w:rPr>
        <w:t>Nr …../…</w:t>
      </w:r>
      <w:r>
        <w:rPr>
          <w:sz w:val="16"/>
          <w:szCs w:val="16"/>
        </w:rPr>
        <w:t>….22</w:t>
      </w:r>
    </w:p>
    <w:p w:rsidR="00075894" w:rsidRPr="00EE72BF" w:rsidRDefault="00075894" w:rsidP="00075894">
      <w:pPr>
        <w:spacing w:line="240" w:lineRule="auto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E72BF">
        <w:rPr>
          <w:sz w:val="16"/>
          <w:szCs w:val="16"/>
        </w:rPr>
        <w:t>Rady M</w:t>
      </w:r>
      <w:r>
        <w:rPr>
          <w:sz w:val="16"/>
          <w:szCs w:val="16"/>
        </w:rPr>
        <w:t>iasta Tychy</w:t>
      </w:r>
    </w:p>
    <w:p w:rsidR="00075894" w:rsidRPr="00EE72BF" w:rsidRDefault="00075894" w:rsidP="00075894">
      <w:pPr>
        <w:spacing w:line="240" w:lineRule="auto"/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E72BF">
        <w:rPr>
          <w:sz w:val="16"/>
          <w:szCs w:val="16"/>
        </w:rPr>
        <w:t>z dnia …2022 roku</w:t>
      </w:r>
    </w:p>
    <w:p w:rsidR="00075894" w:rsidRDefault="00075894" w:rsidP="00075894">
      <w:pPr>
        <w:spacing w:line="360" w:lineRule="auto"/>
        <w:jc w:val="center"/>
        <w:rPr>
          <w:b/>
          <w:sz w:val="32"/>
          <w:szCs w:val="32"/>
        </w:rPr>
      </w:pPr>
    </w:p>
    <w:p w:rsidR="00075894" w:rsidRDefault="00075894" w:rsidP="00075894">
      <w:pPr>
        <w:spacing w:line="360" w:lineRule="auto"/>
        <w:jc w:val="center"/>
        <w:rPr>
          <w:b/>
          <w:sz w:val="32"/>
          <w:szCs w:val="32"/>
        </w:rPr>
      </w:pPr>
    </w:p>
    <w:p w:rsidR="00075894" w:rsidRDefault="00075894" w:rsidP="00075894">
      <w:pPr>
        <w:spacing w:line="360" w:lineRule="auto"/>
        <w:jc w:val="center"/>
        <w:rPr>
          <w:b/>
          <w:noProof/>
          <w:color w:val="FF0000"/>
          <w:sz w:val="32"/>
          <w:szCs w:val="32"/>
          <w:lang w:eastAsia="pl-PL"/>
        </w:rPr>
      </w:pPr>
      <w:r>
        <w:rPr>
          <w:b/>
          <w:noProof/>
          <w:color w:val="FF0000"/>
          <w:sz w:val="32"/>
          <w:szCs w:val="32"/>
          <w:lang w:val="pl-PL" w:eastAsia="pl-PL" w:bidi="ar-SA"/>
        </w:rPr>
        <w:drawing>
          <wp:inline distT="0" distB="0" distL="0" distR="0">
            <wp:extent cx="4657725" cy="838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6A" w:rsidRDefault="00F2016A">
      <w:pPr>
        <w:shd w:val="clear" w:color="auto" w:fill="FFFFFF"/>
        <w:spacing w:before="240" w:line="240" w:lineRule="auto"/>
        <w:ind w:left="6560" w:right="420"/>
        <w:jc w:val="center"/>
        <w:rPr>
          <w:rFonts w:ascii="Calibri" w:eastAsia="Calibri" w:hAnsi="Calibri" w:cs="Calibri"/>
          <w:b/>
        </w:rPr>
      </w:pPr>
    </w:p>
    <w:p w:rsidR="00F2016A" w:rsidRDefault="00F2016A">
      <w:pPr>
        <w:shd w:val="clear" w:color="auto" w:fill="FFFFFF"/>
        <w:spacing w:before="240" w:line="240" w:lineRule="auto"/>
        <w:ind w:left="6560" w:right="420"/>
        <w:jc w:val="center"/>
        <w:rPr>
          <w:rFonts w:ascii="Calibri" w:eastAsia="Calibri" w:hAnsi="Calibri" w:cs="Calibri"/>
          <w:b/>
        </w:rPr>
      </w:pPr>
    </w:p>
    <w:p w:rsidR="00F2016A" w:rsidRDefault="00F2016A">
      <w:pPr>
        <w:spacing w:before="240" w:line="240" w:lineRule="auto"/>
        <w:jc w:val="center"/>
      </w:pPr>
    </w:p>
    <w:p w:rsidR="00F2016A" w:rsidRDefault="00F2016A">
      <w:pPr>
        <w:spacing w:before="240" w:line="240" w:lineRule="auto"/>
        <w:jc w:val="center"/>
      </w:pPr>
    </w:p>
    <w:p w:rsidR="00F2016A" w:rsidRDefault="006E1B60">
      <w:pPr>
        <w:spacing w:before="240" w:line="240" w:lineRule="auto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Program Polityki Zdrowotnej pn.</w:t>
      </w:r>
    </w:p>
    <w:p w:rsidR="00F2016A" w:rsidRDefault="006E1B60">
      <w:pPr>
        <w:spacing w:before="24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Wsparcie leczenia niepłodności metodą zapłodnienia pozaustrojowego -                      In vitro - dla mieszkańców miasta Tychy                    na lata 2022-2025</w:t>
      </w:r>
    </w:p>
    <w:p w:rsidR="00075894" w:rsidRDefault="00075894">
      <w:pPr>
        <w:spacing w:before="240"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F2016A" w:rsidRDefault="006E1B60">
      <w:pPr>
        <w:spacing w:before="24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okres realizacji: 2022 – 2025</w:t>
      </w:r>
    </w:p>
    <w:p w:rsidR="00F2016A" w:rsidRDefault="006E1B60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Podstawa prawna: art. 48 ust. 1 ustawy z dnia 27 sierpnia 2004 r. o świadczeniach opieki zdrowotnej finansowanych ze środków publicznych (Dz. U. z 2021 r. poz. 1285 ze zmianami)</w:t>
      </w:r>
    </w:p>
    <w:p w:rsidR="00F2016A" w:rsidRDefault="00F2016A" w:rsidP="00075894">
      <w:pPr>
        <w:spacing w:before="240" w:line="240" w:lineRule="auto"/>
      </w:pPr>
    </w:p>
    <w:p w:rsidR="00F2016A" w:rsidRDefault="00F2016A">
      <w:pPr>
        <w:spacing w:before="240" w:line="240" w:lineRule="auto"/>
      </w:pPr>
    </w:p>
    <w:p w:rsidR="00F2016A" w:rsidRDefault="006E1B60">
      <w:pPr>
        <w:spacing w:before="48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Tychy, 2022 r.</w:t>
      </w:r>
    </w:p>
    <w:p w:rsidR="006B2557" w:rsidRDefault="006B2557">
      <w:pPr>
        <w:spacing w:before="48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2016A" w:rsidRDefault="006E1B60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Opis choroby lub problemu zdrowotnego i uzasadnienie wprowadzenia programu polityki zdrowotnej</w:t>
      </w:r>
    </w:p>
    <w:p w:rsidR="00F2016A" w:rsidRDefault="00F2016A">
      <w:pPr>
        <w:spacing w:before="240" w:after="240" w:line="240" w:lineRule="auto"/>
        <w:jc w:val="both"/>
      </w:pPr>
    </w:p>
    <w:p w:rsidR="00F2016A" w:rsidRDefault="006E1B60">
      <w:pPr>
        <w:spacing w:before="280" w:after="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I.1. Opis problemu zdrowotnego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Niepłodność to niemożność zajścia w ciążę po roku utrzymywania regularnych stosunków płciowych bez użycia środków antykoncepcyjnych. Niepłodność dotyka nawet co piątej pary w Polsce,                 a każdego roku liczba osób nią dotkniętych zwiększa się. W związku z tym Światowa Organizacja Zdrowia (WHO) uznała niepłodność za chorobę społeczną o kodach ICD-10: N46, N97.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71 Konstytucji RP Państwo w swojej polityce społecznej i gospodarczej uwzględnia dobro rodziny. Art. 16 Deklaracji Praw Człowieka stanowi, iż prawo do posiadania potomstwa jest podstawowym prawem człowieka. Światowa Organizacja Zdrowia uznała niepłodność za chorobę,                      a Parlament Europejski uznał, że wszystkie pary mają prawo do jej leczenia.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Polsce od 2015 r. obowiązuje ustawa o leczeniu niepłodności, która rozpoznaje problem jakim jest niepłodność i reguluje prawo do jej leczenia. Niestety, Polska pozostaje jednym z ostatnich państw europejskich bez możliwości kompleksowego finansowania diagnostyki i leczenia niepłodności.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powyższym niezmiernie ważne jest natychmiastowe podjęcie działań, które zapewnią pacjentom równy dostęp do diagnostyki oraz skutecznej i bezpiecznej terapii, przezwyciężającej skutki niepłodności.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80" w:after="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I.2. Dane epidemiologiczne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Według Światowej Organizacji Zdrowia (WHO) niepłodność dotyka 10 - 12% populacji społeczeństw krajów wysokorozwiniętych. Polskie Towarzystwo Medycyny Rozrodu i Embriologii (</w:t>
      </w:r>
      <w:proofErr w:type="spellStart"/>
      <w:r>
        <w:rPr>
          <w:rFonts w:ascii="Calibri" w:eastAsia="Calibri" w:hAnsi="Calibri" w:cs="Calibri"/>
        </w:rPr>
        <w:t>PTMRiE</w:t>
      </w:r>
      <w:proofErr w:type="spellEnd"/>
      <w:r>
        <w:rPr>
          <w:rFonts w:ascii="Calibri" w:eastAsia="Calibri" w:hAnsi="Calibri" w:cs="Calibri"/>
        </w:rPr>
        <w:t xml:space="preserve">) szacuje, że niepłodność dotyczy bezpośrednio nawet 1,5 mln polskich par, co stanowi około 20% społeczeństwa w wieku reprodukcyjnym. Co najmniej połowa z tych par korzysta z pomocy podstawowej opieki zdrowotnej a około 60% wymaga specjalistycznego leczenia. Według danych </w:t>
      </w:r>
      <w:proofErr w:type="spellStart"/>
      <w:r>
        <w:rPr>
          <w:rFonts w:ascii="Calibri" w:eastAsia="Calibri" w:hAnsi="Calibri" w:cs="Calibri"/>
        </w:rPr>
        <w:t>PTMRiE</w:t>
      </w:r>
      <w:proofErr w:type="spellEnd"/>
      <w:r>
        <w:rPr>
          <w:rFonts w:ascii="Calibri" w:eastAsia="Calibri" w:hAnsi="Calibri" w:cs="Calibri"/>
        </w:rPr>
        <w:t xml:space="preserve"> 12% spośród niepłodnych par rozpocznie leczenie niepłodności w danym roku, a dla 2% spośród tych par jedyną szansą na biologiczne rodzicielstwo będzie leczenie metodą zapłodnienia pozaustrojowego.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Odnosząc te dane do populacji miasta Tychy, liczącej 116 676 mieszkańców (bip.umtychy.pl, stan na dzień 31.12.21) można oszacować, że niepłodność dotyka około 4 592 zamieszkujące miasto pary. Zgodnie ze statystykami 12% z nich rozpocznie leczenie w danym roku, a dla 2% z nich jedyną szansą na biologiczne rodzicielstwo będzie leczenie przy zastosowaniu metod medycznie wspomaganej reprodukcji 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Według danych zawartych w mapach potrzeb zdrowotnych w zakresie chorób układu moczowo-płciowego kobiet oraz nienowotworowych chorób układu płciowego mężczyzn dla województwa śląskiego w 2016 roku w województwie tym zapadalność na niepłodność męską wyniosła 154 osoby (3,4 os./100 000 mieszkańców), a chorobowość rejestrowaną na dzień 31 grudnia 2016 r. obliczono na 1625 osób (35,6 os./100 000 mieszkańców). Za chorych w tym dniu uznano wszystkich pacjentów zaklasyfikowanych jako nowe przypadki zachorowania w publicznym systemie opieki zdrowotnej            </w:t>
      </w:r>
      <w:r>
        <w:rPr>
          <w:rFonts w:ascii="Calibri" w:eastAsia="Calibri" w:hAnsi="Calibri" w:cs="Calibri"/>
        </w:rPr>
        <w:lastRenderedPageBreak/>
        <w:t>od 2009 roku, którzy nie zmarli do 31.12.2016.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Wskaźnik zapadalności rejestrowanej w odniesieniu do zaburzeń płodności u kobiet w województwie śląskim wyniósł w 2016 roku 3169 osób (69,5 os./100 000 mieszkańców). Chorobowość rejestrowana na dzień 31 grudnia 2016 r. wynosiła 31 tys. (681 os./100 000 mieszkańców). Za chorych w tym dniu uznano wszystkich pacjentów zaklasyfikowanych jako nowe przypadki zachorowania w publicznym systemie opieki zdrowotnej od 2009 roku, którzy nie zmarli do 31.12.2016.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2016 roku w województwie śląskim odnotowano 2,35 tys. hospitalizacji kobiet z powodu rozpoznań zakwalifikowanych jako zaburzenia płodności.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 podkreślić, że dane uwzględnione w mapach potrzeb zdrowotnych obejmują jedynie świadczenia realizowane w ramach Narodowego Funduszu Zdrowia, w związku z czym - z uwagi na brak kompleksowej refundacji diagnostyki i leczenia niepłodności, w tym brak finansowania leczenia metodą zapłodnienia pozaustrojowego - nie obrazują rzeczywistych potrzeb w zakresie leczenia niepłodności dla regionu. Warto również zwrócić uwagę na różnicę pomiędzy zapadalnością                 i zachorowalnością kobiet i mężczyzn leczących się z uwagi na niepłodność. Badania naukowe dowodzą, że przyczyny niepłodności diagnozuje się równie często po stronie mężczyzn, jak i kobiet. Tymczasem z analizy danych map potrzeb zdrowotnych wynika, że stosunek chorobowości rejestrowanej mężczyzn do chorobowości rejestrowanej kobiet w województwie śląskim wynosi 1:19.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Mając na uwadze powyższe, dane dotyczące populacji niepłodnej dla Programu obliczono na podstawie danych epidemiologicznych </w:t>
      </w:r>
      <w:proofErr w:type="spellStart"/>
      <w:r>
        <w:rPr>
          <w:rFonts w:ascii="Calibri" w:eastAsia="Calibri" w:hAnsi="Calibri" w:cs="Calibri"/>
        </w:rPr>
        <w:t>PTMRiE</w:t>
      </w:r>
      <w:proofErr w:type="spellEnd"/>
      <w:r>
        <w:rPr>
          <w:rFonts w:ascii="Calibri" w:eastAsia="Calibri" w:hAnsi="Calibri" w:cs="Calibri"/>
        </w:rPr>
        <w:t xml:space="preserve">, które wskazują, że wielkość populacji polskiej wymagającej leczenia niepłodności metodami zapłodnienia pozaustrojowego wynosi około                       30 tysięcy par rocznie. Wyliczeń dokonano na podstawie danych statystycznych [iloczyn wielkości populacji niepłodnej (1,5 mln par) x odsetek par wymagających leczenia IVF/ICSI w danym roku (2%)]. Według danych </w:t>
      </w:r>
      <w:proofErr w:type="spellStart"/>
      <w:r>
        <w:rPr>
          <w:rFonts w:ascii="Calibri" w:eastAsia="Calibri" w:hAnsi="Calibri" w:cs="Calibri"/>
        </w:rPr>
        <w:t>PTMRiE</w:t>
      </w:r>
      <w:proofErr w:type="spellEnd"/>
      <w:r>
        <w:rPr>
          <w:rFonts w:ascii="Calibri" w:eastAsia="Calibri" w:hAnsi="Calibri" w:cs="Calibri"/>
        </w:rPr>
        <w:t xml:space="preserve"> 12% spośród niepłodnych par rozpocznie leczenie w danym roku,                 a dla 2% z nich jedyną szansą na biologiczne rodzicielstwo będzie leczenie metodą zapłodnienia pozaustrojowego. Szacunki te potwierdzają dane porównawcze z innych państw europejskich,                  w których zapotrzebowanie na leczenie niepłodności metodami IVF/ICSI ocenia się na 600-800 cykli/mln mieszkańców.</w:t>
      </w:r>
    </w:p>
    <w:p w:rsidR="00F2016A" w:rsidRDefault="006E1B60">
      <w:pPr>
        <w:spacing w:before="240" w:line="240" w:lineRule="auto"/>
        <w:jc w:val="both"/>
      </w:pPr>
      <w:r>
        <w:rPr>
          <w:rFonts w:ascii="Calibri" w:eastAsia="Calibri" w:hAnsi="Calibri" w:cs="Calibri"/>
        </w:rPr>
        <w:t>Odnosząc powyższy schemat do populacji miasta Tychy, liczącej 116 676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</w:rPr>
        <w:t>mieszkańców (bip.umtychy.pl, stan na dzień 31.12.21), wielkość niepłodnej populacji szacuje się na około 4 592 pary, spośród których około 551 par (12%) rozpocznie leczenie w danym roku, a 92 pary rocznie (2%) będą wymagały leczenia metodą zapłodnienia pozaustrojowego.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  <w:b/>
        </w:rPr>
      </w:pPr>
    </w:p>
    <w:p w:rsidR="00F2016A" w:rsidRDefault="006E1B60">
      <w:pPr>
        <w:spacing w:before="280" w:after="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I.3. Opis obecnego postępowania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Niepłodność spowodowana jest w równym stopniu przez czynnik męski i żeński. W około 1/3 przypadków jej przyczyna nie jest możliwa do zidentyfikowania (niepłodność idiopatyczna) lub leży po stronie obojga partnerów.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Wśród najczęstszych przyczyn niepłodności rozpoznaje się:</w:t>
      </w:r>
    </w:p>
    <w:p w:rsidR="00F2016A" w:rsidRDefault="006E1B60">
      <w:pPr>
        <w:numPr>
          <w:ilvl w:val="0"/>
          <w:numId w:val="31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nieprawidłowe parametry nasienia (niewłaściwa liczba, ruchliwość lub budowa plemników);</w:t>
      </w:r>
    </w:p>
    <w:p w:rsidR="00F2016A" w:rsidRDefault="006E1B60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anatomiczne wady macicy;</w:t>
      </w:r>
    </w:p>
    <w:p w:rsidR="00F2016A" w:rsidRDefault="006E1B60">
      <w:pPr>
        <w:numPr>
          <w:ilvl w:val="0"/>
          <w:numId w:val="13"/>
        </w:numPr>
        <w:spacing w:line="240" w:lineRule="auto"/>
      </w:pPr>
      <w:r>
        <w:rPr>
          <w:rFonts w:ascii="Calibri" w:eastAsia="Calibri" w:hAnsi="Calibri" w:cs="Calibri"/>
        </w:rPr>
        <w:t>zaburzenia gospodarki hormonalnej;</w:t>
      </w:r>
      <w:r>
        <w:t xml:space="preserve"> </w:t>
      </w:r>
      <w:r>
        <w:tab/>
      </w:r>
    </w:p>
    <w:p w:rsidR="00F2016A" w:rsidRDefault="006E1B60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niedrożność jajowodów;</w:t>
      </w:r>
    </w:p>
    <w:p w:rsidR="00F2016A" w:rsidRDefault="006E1B60">
      <w:pPr>
        <w:numPr>
          <w:ilvl w:val="0"/>
          <w:numId w:val="13"/>
        </w:numPr>
        <w:spacing w:line="240" w:lineRule="auto"/>
      </w:pPr>
      <w:proofErr w:type="spellStart"/>
      <w:r>
        <w:rPr>
          <w:rFonts w:ascii="Calibri" w:eastAsia="Calibri" w:hAnsi="Calibri" w:cs="Calibri"/>
        </w:rPr>
        <w:lastRenderedPageBreak/>
        <w:t>endometriozę</w:t>
      </w:r>
      <w:proofErr w:type="spellEnd"/>
      <w:r>
        <w:rPr>
          <w:rFonts w:ascii="Calibri" w:eastAsia="Calibri" w:hAnsi="Calibri" w:cs="Calibri"/>
        </w:rPr>
        <w:t>;</w:t>
      </w:r>
      <w:r>
        <w:t xml:space="preserve"> </w:t>
      </w:r>
      <w:r>
        <w:tab/>
      </w:r>
      <w:r>
        <w:tab/>
      </w:r>
    </w:p>
    <w:p w:rsidR="00F2016A" w:rsidRDefault="006E1B60">
      <w:pPr>
        <w:numPr>
          <w:ilvl w:val="0"/>
          <w:numId w:val="13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niepłodność immunologiczną.</w:t>
      </w:r>
    </w:p>
    <w:p w:rsidR="00F2016A" w:rsidRDefault="006E1B60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Ponadto, według szacunków około 10% par korzystających z technik wspomaganej reprodukcji -             w tym przede wszystkim pacjenci onkologiczni lub będący nosicielami chorób genetycznych - wykorzystuje nasienie, oocyty, lub zarodki od niespokrewnionych dawców.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 względem klinicznym wyróżnia się:</w:t>
      </w:r>
    </w:p>
    <w:p w:rsidR="00F2016A" w:rsidRDefault="006E1B60">
      <w:pPr>
        <w:numPr>
          <w:ilvl w:val="0"/>
          <w:numId w:val="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niepłodność bezwzględną (około 7% do 15% przypadków), która jest bezpośrednim wskazaniem do zastosowania technik medycznie wspomaganej reprodukcji;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8"/>
        </w:numPr>
        <w:spacing w:after="240" w:line="240" w:lineRule="auto"/>
      </w:pPr>
      <w:r>
        <w:rPr>
          <w:rFonts w:ascii="Calibri" w:eastAsia="Calibri" w:hAnsi="Calibri" w:cs="Calibri"/>
        </w:rPr>
        <w:t>ograniczenie płodności o różnym stopniu nasilenia, kiedy możliwe jest leczenie farmakologiczne lub chirurgiczne, a w przypadku ich niepowodzenia stosowane są techniki wspomaganej medycznie reprodukcji.</w:t>
      </w:r>
      <w:r>
        <w:br/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Roczny okres spontanicznych, nieskutecznych starań o ciążę jest wskazaniem do rozpoczęcia diagnostyki, która zawsze powinna dotyczyć obojga partnerów. W uzasadnionych medycznie przypadkach okres ten może ulec skróceniu. Wcześniejszą diagnostykę należy rozpocząć                      w przypadku kiedy wiek kobiety przekracza 35 lat, występują zaburzenia rytmu krwawień menstruacyjnych, istnieje podejrzenie </w:t>
      </w:r>
      <w:proofErr w:type="spellStart"/>
      <w:r>
        <w:rPr>
          <w:rFonts w:ascii="Calibri" w:eastAsia="Calibri" w:hAnsi="Calibri" w:cs="Calibri"/>
        </w:rPr>
        <w:t>endometriozy</w:t>
      </w:r>
      <w:proofErr w:type="spellEnd"/>
      <w:r>
        <w:rPr>
          <w:rFonts w:ascii="Calibri" w:eastAsia="Calibri" w:hAnsi="Calibri" w:cs="Calibri"/>
        </w:rPr>
        <w:t xml:space="preserve"> lub innej patologii narządu rodnego oraz gdy dodatkowo nakłada się czynnik męski niepłodności. Wstępna diagnostyka powinna obejmować ocenę czynności jajników, anatomii żeńskiego układu rozrodczego oraz badanie nasienia.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Standardowe, wstępne postępowanie diagnostyczne obejmuje: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oceny płodności kobiet:</w:t>
      </w:r>
    </w:p>
    <w:p w:rsidR="00F2016A" w:rsidRDefault="006E1B60">
      <w:pPr>
        <w:numPr>
          <w:ilvl w:val="0"/>
          <w:numId w:val="2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badanie podmiotowe, przedmiotowe wraz z badaniem ginekologicznym;</w:t>
      </w:r>
    </w:p>
    <w:p w:rsidR="00F2016A" w:rsidRDefault="006E1B60">
      <w:pPr>
        <w:numPr>
          <w:ilvl w:val="0"/>
          <w:numId w:val="7"/>
        </w:numPr>
        <w:spacing w:line="240" w:lineRule="auto"/>
      </w:pPr>
      <w:r>
        <w:rPr>
          <w:rFonts w:ascii="Calibri" w:eastAsia="Calibri" w:hAnsi="Calibri" w:cs="Calibri"/>
        </w:rPr>
        <w:t>wybrane badania dodatkowe, w tym hormonalne i obrazowe;</w:t>
      </w:r>
      <w:r>
        <w:t xml:space="preserve"> </w:t>
      </w:r>
      <w:r>
        <w:tab/>
      </w:r>
    </w:p>
    <w:p w:rsidR="00F2016A" w:rsidRDefault="006E1B60">
      <w:pPr>
        <w:numPr>
          <w:ilvl w:val="0"/>
          <w:numId w:val="7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wywiad, ze szczególnym uwzględnieniem regularności krwawień miesięcznych                                   i jajeczkowania;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oceny płodności mężczyzn:</w:t>
      </w:r>
    </w:p>
    <w:p w:rsidR="00F2016A" w:rsidRDefault="006E1B60">
      <w:pPr>
        <w:numPr>
          <w:ilvl w:val="0"/>
          <w:numId w:val="12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zebranie wywiadu lekarskiego ukierunkowanego na zaburzenia rozrodu;</w:t>
      </w:r>
    </w:p>
    <w:p w:rsidR="00F2016A" w:rsidRDefault="006E1B60">
      <w:pPr>
        <w:numPr>
          <w:ilvl w:val="0"/>
          <w:numId w:val="21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najmniej jedno badanie </w:t>
      </w:r>
      <w:proofErr w:type="spellStart"/>
      <w:r>
        <w:rPr>
          <w:rFonts w:ascii="Calibri" w:eastAsia="Calibri" w:hAnsi="Calibri" w:cs="Calibri"/>
        </w:rPr>
        <w:t>seminologiczne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Diagnostyka przyczyn niepłodności powinna być przeprowadzana równolegle u obojga partnerów, ponieważ u około połowy par za ograniczenie płodności odpowiada czynnik męski.</w:t>
      </w:r>
    </w:p>
    <w:p w:rsidR="00F2016A" w:rsidRDefault="00F2016A">
      <w:pPr>
        <w:spacing w:before="240" w:after="240" w:line="240" w:lineRule="auto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Wśród metod leczenia niepłodności o udowodnionej skuteczności wymienia się:</w:t>
      </w:r>
    </w:p>
    <w:p w:rsidR="00F2016A" w:rsidRDefault="006E1B60">
      <w:pPr>
        <w:numPr>
          <w:ilvl w:val="0"/>
          <w:numId w:val="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zachowawcze leczenie farmakologiczne;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leczenie chirurgiczne;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29"/>
        </w:numPr>
        <w:spacing w:line="240" w:lineRule="auto"/>
      </w:pPr>
      <w:r>
        <w:rPr>
          <w:rFonts w:ascii="Calibri" w:eastAsia="Calibri" w:hAnsi="Calibri" w:cs="Calibri"/>
        </w:rPr>
        <w:t>proste techniki medycznie wspomaganej reprodukcji – inseminacja domaciczna (IUI) nasieniem partnera lub dawcy;</w:t>
      </w:r>
      <w:r>
        <w:t xml:space="preserve"> </w:t>
      </w:r>
      <w:r>
        <w:tab/>
      </w:r>
    </w:p>
    <w:p w:rsidR="00F2016A" w:rsidRDefault="006E1B60">
      <w:pPr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zaawansowane </w:t>
      </w:r>
      <w:r>
        <w:rPr>
          <w:rFonts w:ascii="Calibri" w:eastAsia="Calibri" w:hAnsi="Calibri" w:cs="Calibri"/>
        </w:rPr>
        <w:tab/>
        <w:t xml:space="preserve">techniki medycznie wspomaganej reprodukcji w tym: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1"/>
          <w:numId w:val="2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zapłodnienie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 (IVF) w ramach dawstwa partnerskiego i innego niż </w:t>
      </w:r>
      <w:r>
        <w:rPr>
          <w:rFonts w:ascii="Calibri" w:eastAsia="Calibri" w:hAnsi="Calibri" w:cs="Calibri"/>
        </w:rPr>
        <w:tab/>
        <w:t>partnerskie</w:t>
      </w:r>
    </w:p>
    <w:p w:rsidR="00F2016A" w:rsidRDefault="006E1B60">
      <w:pPr>
        <w:numPr>
          <w:ilvl w:val="1"/>
          <w:numId w:val="2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mikroiniekcja plemnika do komórki jajowej (ICSI) w ramach dawstwa partnerskiego           i innego niż partnerskie;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1"/>
          <w:numId w:val="29"/>
        </w:numPr>
        <w:spacing w:line="240" w:lineRule="auto"/>
      </w:pPr>
      <w:r>
        <w:rPr>
          <w:rFonts w:ascii="Calibri" w:eastAsia="Calibri" w:hAnsi="Calibri" w:cs="Calibri"/>
        </w:rPr>
        <w:t>mikroiniekcja z użyciem plemników uzyskanych podczas biopsji najądrza (</w:t>
      </w:r>
      <w:proofErr w:type="spellStart"/>
      <w:r>
        <w:rPr>
          <w:rFonts w:ascii="Calibri" w:eastAsia="Calibri" w:hAnsi="Calibri" w:cs="Calibri"/>
        </w:rPr>
        <w:t>ICSI-PESA</w:t>
      </w:r>
      <w:proofErr w:type="spellEnd"/>
      <w:r>
        <w:rPr>
          <w:rFonts w:ascii="Calibri" w:eastAsia="Calibri" w:hAnsi="Calibri" w:cs="Calibri"/>
        </w:rPr>
        <w:t>) lub jądra (</w:t>
      </w:r>
      <w:proofErr w:type="spellStart"/>
      <w:r>
        <w:rPr>
          <w:rFonts w:ascii="Calibri" w:eastAsia="Calibri" w:hAnsi="Calibri" w:cs="Calibri"/>
        </w:rPr>
        <w:t>ICSI-TESA</w:t>
      </w:r>
      <w:proofErr w:type="spellEnd"/>
      <w:r>
        <w:rPr>
          <w:rFonts w:ascii="Calibri" w:eastAsia="Calibri" w:hAnsi="Calibri" w:cs="Calibri"/>
        </w:rPr>
        <w:t>);</w:t>
      </w:r>
      <w:r>
        <w:t xml:space="preserve"> </w:t>
      </w:r>
      <w:r>
        <w:tab/>
      </w:r>
    </w:p>
    <w:p w:rsidR="00F2016A" w:rsidRDefault="006E1B60">
      <w:pPr>
        <w:numPr>
          <w:ilvl w:val="1"/>
          <w:numId w:val="29"/>
        </w:numPr>
        <w:spacing w:after="240" w:line="240" w:lineRule="auto"/>
      </w:pPr>
      <w:r>
        <w:rPr>
          <w:rFonts w:ascii="Calibri" w:eastAsia="Calibri" w:hAnsi="Calibri" w:cs="Calibri"/>
        </w:rPr>
        <w:t>transfer zarodka w ramach dawstwa innego niż partnerskie (tzw. adopcja zarodka).</w:t>
      </w:r>
      <w:r>
        <w:rPr>
          <w:rFonts w:ascii="Calibri" w:eastAsia="Calibri" w:hAnsi="Calibri" w:cs="Calibri"/>
        </w:rPr>
        <w:br/>
        <w:t xml:space="preserve"> </w:t>
      </w:r>
      <w:r>
        <w:tab/>
        <w:t xml:space="preserve"> </w:t>
      </w:r>
      <w:r>
        <w:tab/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zależności od sytuacji klinicznej pary - przyczyny niepłodności oraz czasu trwania aktywnych                      i bezskutecznych starań o ciążę - metody leczenia dobierane są indywidualnie. Wybrana ścieżka leczenia powinna pozostawać w zgodzie z zapisami ustawy o leczeniu niepłodności z dnia 25 czerwca 2015 r. (Dz. U. z 2020 r. poz. 442) oraz z rekomendacjami w leczeniu niepłodności krajowych                        i międzynarodowych towarzystw naukowych. Stosowane metody leczenia powinny mieć udowodnioną naukowo skuteczność przy określonej przyczynie niepłodności lub pomimo braku jej rozpoznania. Należy przy tym wykazać, że zgodnie z rekomendacjami w leczeniu niepłodności długi czas trwania niepłodności, pomimo prawidłowych wyników badań wskazuje, że przyczyna niepłodności jest poważna i wymaga leczenia z zastosowaniem metod medycznie wspomaganej reprodukcji.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stronie kobiet niepłodność powodują głównie: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nieprawidłowości funkcji jajnika;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patologie w obrębie jajowodów (niedrożność, upośledzona funkcja, zrosty);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patologie w obrębie macicy (mięśniaki, polipy, wady budowy, zrosty);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</w:t>
      </w:r>
      <w:proofErr w:type="spellStart"/>
      <w:r>
        <w:rPr>
          <w:rFonts w:ascii="Calibri" w:eastAsia="Calibri" w:hAnsi="Calibri" w:cs="Calibri"/>
        </w:rPr>
        <w:t>endometrioza</w:t>
      </w:r>
      <w:proofErr w:type="spellEnd"/>
      <w:r>
        <w:rPr>
          <w:rFonts w:ascii="Calibri" w:eastAsia="Calibri" w:hAnsi="Calibri" w:cs="Calibri"/>
        </w:rPr>
        <w:t>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nosicielstwo chorób zakaźnych;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przyczyny jatrogenne (przebyte operacje, przebyte leczenie onkologiczne);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g) choroby immunologiczne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h) choroby genetyczne.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stronie mężczyzn do niepłodności prowadzą nieprawidłowości wynikające z zaburzeń hormonalnych, przyczyn jatrogennych (po leczeniu onkologicznym, po przebytych chorobach), genetycznych, przejawiające się w: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zaburzeniu koncentracji, ruchliwości i budowy plemników;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braku plemników w nasieniu;</w:t>
      </w:r>
    </w:p>
    <w:p w:rsidR="00F2016A" w:rsidRDefault="006E1B60">
      <w:pPr>
        <w:spacing w:before="24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zaburzeniu we współżyciu płciowym i ejakulacji.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Wzrost liczby par zmagających się z niepłodnością jest między innymi konsekwencją ogólnoświatowych trendów populacyjnych, wśród których istotnym jest coraz późniejszy wiek kobiet </w:t>
      </w:r>
      <w:r>
        <w:rPr>
          <w:rFonts w:ascii="Calibri" w:eastAsia="Calibri" w:hAnsi="Calibri" w:cs="Calibri"/>
        </w:rPr>
        <w:lastRenderedPageBreak/>
        <w:t>i mężczyzn decydujących się na reprodukcję. W przypadku kobiet szczyt płodności przypada około  25 roku życia i gwałtownie spada po ukończeniu 35 roku życia. Najnowsze badania dowodzą, że wraz z upływem lat spada nie tylko płodność kobiet, ale również znacząco obniża się potencjał rozrodczy mężczyzn.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Według badań u 17% kobiet z doświadczeniem niepłodności diagnozowano również depresję. Pary dotknięte niepłodnością znacznie częściej doświadczają depresji, zaburzeń nerwicowych prowadzących do obniżenia jakości życia oraz zmniejszenia produktywności zawodowej i zaburzeń relacji społecznych. Ponadto pary niepłodne są zagrożone rozpadem związku lub rozwodem                       w wyższym stopniu w porównaniu do rodzin dzietnych.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</w:pPr>
      <w:r>
        <w:rPr>
          <w:rFonts w:ascii="Calibri" w:eastAsia="Calibri" w:hAnsi="Calibri" w:cs="Calibri"/>
        </w:rPr>
        <w:t>Diagnostyka przyczyn niepłodności znajduje się w wykazie świadczeń gwarantowanych w zakresie niepłodności kobiecej pochodzenia jajowodowego, szyjkowego, macicznego, niepłodności kobiecej związanej z czynnikami męskimi, niepłodności kobiecej innego pochodzenia oraz niepłodności kobiecej nieokreślonej. W ramach świadczeń gwarantowanych istnieje również możliwość wykonania zabiegu inseminacji domacicznej</w:t>
      </w:r>
      <w:r>
        <w:rPr>
          <w:rFonts w:ascii="Calibri" w:eastAsia="Calibri" w:hAnsi="Calibri" w:cs="Calibri"/>
          <w:highlight w:val="white"/>
        </w:rPr>
        <w:t>. Leczenie niepłodności metodami zapłodnienia pozaustrojowego pozostaje poza koszykiem NFZ.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latach 2016-2020 Ministerstwo Zdrowia realizowało „Program kompleksowej ochrony zdrowia prokreacyjnego w Polsce w latach 2016-2020”, który obejmował diagnostykę wcześniej niediagnozowanych w kierunku niepłodności par. W roku 2021 Ministerstwo Zdrowia realizowało “Rządowy program kompleksowej ochrony zdrowia prokreacyjnego w Polsce w 2021 r.”. Kontynuacją programów jest “Rządowy program kompleksowej ochrony zdrowia prokreacyjnego               w Polsce w 2021-2023 r.”. Program zapewnia dostęp do kompleksowej diagnostyki niepłodności, jednak z uwagi na ograniczenie populacji docelowej nie gwarantuje szerokiego i równego dostępu do w/w. Program nie obejmuje leczenia niepłodności metodami zapłodnienia pozaustrojowego.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latach 2013-2016 funkcjonował Narodowy Program Leczenia Niepłodności Metodą Zapłodnienia Pozaustrojowego. Z ministerialnego programu skorzystało ponad 17 tys. par a w jego efekcie na świat przyszło ponad 22 tys. dzieci. Dowodzi to ogromnego zapotrzebowania na programy zdrowotne skierowane do niepłodnych i ukierunkowane na finansowanie bądź dofinansowanie kosztów diagnozowania i leczenia niepłodności. Samorządowe programy polityki zdrowotnej finansujące leczenie niepłodności metodą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 realizowane są obecnie przez kilkadziesiąt polskich miast, powiatów oraz województw, między innymi przez Poznań, Łódź, Warszawę, Gdańsk, Sosnowiec czy województwo wielkopolskie.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Według danych </w:t>
      </w: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Society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Human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Reproduction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Embryology</w:t>
      </w:r>
      <w:proofErr w:type="spellEnd"/>
      <w:r>
        <w:rPr>
          <w:rFonts w:ascii="Calibri" w:eastAsia="Calibri" w:hAnsi="Calibri" w:cs="Calibri"/>
        </w:rPr>
        <w:t xml:space="preserve"> (ESHRE) z 2014 r. średnia skuteczność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 w Europie wyniosła 28,9% w przypadku klasycznego IVF oraz 26,8% w przypadku procedury ICSI. Zgodnie z danymi Ministerstwa Zdrowia średnia skuteczność metody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 (IVF         i ICSI) w ramach Narodowego Programu Leczenia Niepłodności w latach 2013 – 2016 wyniosła           32% ciąż klinicznych w przeliczeniu na transfer zarodka. Wskazuje to na wysoką, terapeutyczną skuteczności tej metody leczenia oraz dowodzi wysokiej skuteczności leczenia w polskich ośrodkach leczenia niepłodności.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Aktualnie, w związku z brakiem centralnej refundacji leczenia niepłodności metodą zapłodnienia pozaustrojowego, jedyną szansą na leczenie niepłodności metodą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 dla polskich pacjentów jest leczenie komercyjne. Wysokie koszty terapii sprawiają, że pozostaje ona niedostępna dla wielu par. W efekcie dostępność do leczenia niepłodności jest ograniczona, co potęguje zjawisko ekonomicznej </w:t>
      </w:r>
      <w:r>
        <w:rPr>
          <w:rFonts w:ascii="Calibri" w:eastAsia="Calibri" w:hAnsi="Calibri" w:cs="Calibri"/>
        </w:rPr>
        <w:lastRenderedPageBreak/>
        <w:t>dyskryminacji niepłodnych.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7. ustawy z dnia 27 sierpnia 2004 r. o świadczeniach opieki zdrowotnej finansowanych ze środków publicznych (Dz. U. z 2021 r. poz. 1285.), do zadań własnych gminy w zakresie zapewnienia równego dostępu do świadczeń opieki zdrowotnej należy w szczególności opracowywanie i realizacja oraz ocena efektów programów polityki zdrowotnej wynikających                        z rozpoznanych potrzeb zdrowotnych i stanu zdrowia mieszkańców gminy.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Realizacja niniejszego Programu, gwarantując dostęp do nierefundowanych świadczeń w zakresie leczenia niepłodności stanowi uzupełnienie świadczeń gwarantowanych koszykiem NFZ. Wdrożenie           i realizacja niniejszego programu polityki zdrowotnej zwiększy dostęp do zaawansowanych metod leczenia niepłodności dla mieszkańców miasta Tychy, ograniczając zjawisko niezamierzonej bezdzietności.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Cele programu polityki zdrowotnej i mierniki efektywności jego realizacji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II.1. Cel główny</w:t>
      </w:r>
    </w:p>
    <w:p w:rsidR="00F2016A" w:rsidRDefault="006E1B60">
      <w:pPr>
        <w:numPr>
          <w:ilvl w:val="0"/>
          <w:numId w:val="14"/>
        </w:numPr>
        <w:spacing w:before="240" w:after="240" w:line="240" w:lineRule="auto"/>
      </w:pPr>
      <w:r>
        <w:rPr>
          <w:rFonts w:ascii="Calibri" w:eastAsia="Calibri" w:hAnsi="Calibri" w:cs="Calibri"/>
        </w:rPr>
        <w:t xml:space="preserve">Narodziny dzieci u 25% par objętych leczeniem niepłodności metodami wspomaganej </w:t>
      </w:r>
      <w:proofErr w:type="spellStart"/>
      <w:r>
        <w:rPr>
          <w:rFonts w:ascii="Calibri" w:eastAsia="Calibri" w:hAnsi="Calibri" w:cs="Calibri"/>
        </w:rPr>
        <w:t>reprodukcjiw</w:t>
      </w:r>
      <w:proofErr w:type="spellEnd"/>
      <w:r>
        <w:rPr>
          <w:rFonts w:ascii="Calibri" w:eastAsia="Calibri" w:hAnsi="Calibri" w:cs="Calibri"/>
        </w:rPr>
        <w:t xml:space="preserve"> programie.</w:t>
      </w:r>
      <w:r>
        <w:br/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II.2. Cele szczegółowe</w:t>
      </w:r>
    </w:p>
    <w:p w:rsidR="00F2016A" w:rsidRDefault="006E1B60">
      <w:pPr>
        <w:numPr>
          <w:ilvl w:val="0"/>
          <w:numId w:val="33"/>
        </w:numPr>
        <w:spacing w:before="240" w:line="240" w:lineRule="auto"/>
      </w:pPr>
      <w:r>
        <w:rPr>
          <w:rFonts w:ascii="Calibri" w:eastAsia="Calibri" w:hAnsi="Calibri" w:cs="Calibri"/>
        </w:rPr>
        <w:t xml:space="preserve">Uzyskanie wyniku pozytywnego – ciąży - u co najmniej 25% par zakwalifikowanych do programu zapłodnienia pozaustrojowego z wykorzystaniem własnych gamet (dawstwo partnerskie) lub z wykorzystaniem nasienia dawcy (dawstwo inne niż partnerskie); </w:t>
      </w:r>
      <w:r>
        <w:tab/>
        <w:t xml:space="preserve"> </w:t>
      </w:r>
      <w:r>
        <w:tab/>
      </w:r>
    </w:p>
    <w:p w:rsidR="00F2016A" w:rsidRDefault="006E1B60">
      <w:pPr>
        <w:numPr>
          <w:ilvl w:val="0"/>
          <w:numId w:val="33"/>
        </w:numPr>
        <w:spacing w:line="240" w:lineRule="auto"/>
      </w:pPr>
      <w:r>
        <w:rPr>
          <w:rFonts w:ascii="Calibri" w:eastAsia="Calibri" w:hAnsi="Calibri" w:cs="Calibri"/>
        </w:rPr>
        <w:t xml:space="preserve">uzyskanie wyniku pozytywnego – ciąży – u co najmniej 30% par zakwalifikowanych do programu zapłodnienia pozaustrojowego z wykorzystaniem komórek jajowych dawczyni (dawstwo inne niż partnerskie); </w:t>
      </w:r>
      <w:r>
        <w:tab/>
        <w:t xml:space="preserve"> </w:t>
      </w:r>
      <w:r>
        <w:tab/>
      </w:r>
    </w:p>
    <w:p w:rsidR="00F2016A" w:rsidRDefault="006E1B60">
      <w:pPr>
        <w:numPr>
          <w:ilvl w:val="0"/>
          <w:numId w:val="33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uzyskanie wyniku pozytywnego – ciąży - u co najmniej 20% par zakwalifikowanych do programu adopcji zarodka (dawstwo inne niż partnerskie).</w:t>
      </w:r>
      <w:r>
        <w:rPr>
          <w:rFonts w:ascii="Calibri" w:eastAsia="Calibri" w:hAnsi="Calibri" w:cs="Calibri"/>
        </w:rPr>
        <w:br/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Cele szczegółowe zostały zdefiniowane w oparciu o średnią skuteczność zabiegu zapłodnienia pozaustrojowego i procedur medycznie wspomaganej reprodukcji wynoszącą zgodnie z danymi Ministerstwa Zdrowia oraz z raportami Sekcji Płodności i Niepłodności Polskiego Towarzystwa Ginekologicznego: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32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grupy pacjentów korzystających z zapłodnienia pozaustrojowego  z wykorzystaniem własnych gamet (dawstwo partnerskie) lub nasienia anonimowego dawcy (dawstwo inne niż partnerskie) ok. 20-40% na jeden cykl zakończony transferem zarodka;</w:t>
      </w:r>
    </w:p>
    <w:p w:rsidR="00F2016A" w:rsidRDefault="006E1B60">
      <w:pPr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grupy pacjentów korzystających z zapłodnienia pozaustrojowego z wykorzystaniem komórki jajowej anonimowej dawczyni (dawstwo inne niż partnerskie) ok. 30-40% na jeden cykl zakończony transferem zarodka;</w:t>
      </w:r>
    </w:p>
    <w:p w:rsidR="00F2016A" w:rsidRDefault="006E1B60">
      <w:pPr>
        <w:numPr>
          <w:ilvl w:val="0"/>
          <w:numId w:val="3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grupy pacjentów korzystających z procedur wspomaganego rozrodu, tj. adopcja zarodka (dawstwo inne niż partnerskie) ok. 32% na jeden cykl równoznaczny z transferem zarodka.</w:t>
      </w:r>
      <w:r>
        <w:rPr>
          <w:rFonts w:ascii="Calibri" w:eastAsia="Calibri" w:hAnsi="Calibri" w:cs="Calibri"/>
        </w:rPr>
        <w:br/>
      </w:r>
    </w:p>
    <w:p w:rsidR="00F2016A" w:rsidRDefault="006E1B60">
      <w:pPr>
        <w:spacing w:before="280" w:after="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II.3. Mierniki efektywności realizacji programu polityki zdrowotnej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Miernikiem efektywności dla celu głównego jest wzór: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Px25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gdzie P oznacza liczbę par, które przystąpiły do leczenia w ramach Programu.</w:t>
      </w:r>
    </w:p>
    <w:p w:rsidR="00F2016A" w:rsidRDefault="00F2016A">
      <w:pPr>
        <w:spacing w:before="280" w:line="240" w:lineRule="auto"/>
        <w:jc w:val="both"/>
        <w:rPr>
          <w:i/>
          <w:iCs/>
        </w:rPr>
      </w:pP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Miernikiem efektywności dla celów szczegółowych są poniższe wzory: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dla celu szczegółowego określającego oczekiwane rezultaty leczenia w przypadku par zakwalifikowanych do programu zapłodnienia pozaustrojowego z wykorzystaniem własnych gamet (dawstwo partnerskie) lub z wykorzystaniem nasienia dawcy (dawstwo inne niż partnerskie); 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Gx25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gdzie G oznacza liczbę par, które przystąpiły do leczenia w ramach Programu z wykorzystaniem własnych gamet (dawstwo partnerskie) lub z wykorzystaniem nasienia dawcy (dawstwo inne niż partnerskie); 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dla celu szczegółowego określającego oczekiwane rezultaty leczenia w przypadku par zakwalifikowanych do programu zapłodnienia pozaustrojowego z wykorzystaniem komórek jajowych dawczyni (dawstwo inne niż partnerskie);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Ox30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gdzie O oznacza liczbę par, które przystąpiły do leczenia w ramach Programu z wykorzystaniem komórek jajowych dawczyni (dawstwo inne niż partnerskie);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dla celu szczegółowego określającego oczekiwane rezultaty leczenia w przypadku par zakwalifikowanych do programu adopcji zarodka (dawstwo inne niż partnerskie);</w:t>
      </w:r>
    </w:p>
    <w:p w:rsidR="00F2016A" w:rsidRDefault="006E1B60">
      <w:pPr>
        <w:spacing w:before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Zx20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F2016A" w:rsidRDefault="006E1B60">
      <w:pPr>
        <w:spacing w:before="280" w:line="240" w:lineRule="auto"/>
        <w:jc w:val="both"/>
      </w:pPr>
      <w:r>
        <w:rPr>
          <w:rFonts w:ascii="Calibri" w:eastAsia="Calibri" w:hAnsi="Calibri" w:cs="Calibri"/>
          <w:i/>
          <w:iCs/>
        </w:rPr>
        <w:t>gdzie Z oznacza liczbę par zakwalifikowanych do programu adopcji zarodka (dawstwo inne niż partnerskie).</w:t>
      </w:r>
      <w:r>
        <w:rPr>
          <w:rFonts w:ascii="Calibri" w:eastAsia="Calibri" w:hAnsi="Calibri" w:cs="Calibri"/>
          <w:i/>
          <w:iCs/>
        </w:rPr>
        <w:br/>
      </w:r>
      <w:r>
        <w:rPr>
          <w:rFonts w:ascii="Calibri" w:eastAsia="Calibri" w:hAnsi="Calibri" w:cs="Calibri"/>
          <w:b/>
        </w:rPr>
        <w:t>III. Charakterystyka populacji docelowej oraz charakterystyka interwencji, jakie są planowane        w ramach programu polityki zdrowotnej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III.1. Populacja docelowa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Według szacunków Polskiego Towarzystwa Medycyny Rozrodu i Embriologii (</w:t>
      </w:r>
      <w:proofErr w:type="spellStart"/>
      <w:r>
        <w:rPr>
          <w:rFonts w:ascii="Calibri" w:eastAsia="Calibri" w:hAnsi="Calibri" w:cs="Calibri"/>
        </w:rPr>
        <w:t>PTMRiE</w:t>
      </w:r>
      <w:proofErr w:type="spellEnd"/>
      <w:r>
        <w:rPr>
          <w:rFonts w:ascii="Calibri" w:eastAsia="Calibri" w:hAnsi="Calibri" w:cs="Calibri"/>
        </w:rPr>
        <w:t xml:space="preserve">), w Polsce niepłodność dotyka około 1,5 mln par. Każdego roku około 30 tys. z nich wymaga leczenia metodami medycznie wspomaganej reprodukcji - IVF/ICSI. 12% spośród niepłodnych par rozpocznie leczenie            </w:t>
      </w:r>
      <w:r>
        <w:rPr>
          <w:rFonts w:ascii="Calibri" w:eastAsia="Calibri" w:hAnsi="Calibri" w:cs="Calibri"/>
        </w:rPr>
        <w:lastRenderedPageBreak/>
        <w:t xml:space="preserve">w danym roku a 2% z nich będzie wymagało leczenia metodami medycznie wspomaganej reprodukcji. </w:t>
      </w:r>
    </w:p>
    <w:p w:rsidR="00F2016A" w:rsidRDefault="006E1B60">
      <w:pPr>
        <w:spacing w:before="240" w:line="240" w:lineRule="auto"/>
        <w:jc w:val="both"/>
      </w:pPr>
      <w:r>
        <w:rPr>
          <w:rFonts w:ascii="Calibri" w:eastAsia="Calibri" w:hAnsi="Calibri" w:cs="Calibri"/>
        </w:rPr>
        <w:t>Odnosząc te dane do populacji miasta Tychy, liczącej 116 676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</w:rPr>
        <w:t>mieszkańców (bip.umtychy.pl, dane na dzień 31.12.21), wielkość niepłodnej populacji szacuje się na 4 592 pary, spośród których około 551 rozpocznie leczenie w danym roku. Około 92 pary rocznie będą wymagały leczenia metodami zapłodnienia pozaustrojowego IVF/ICSI (2% populacji niepłodnej). Ponadto, około 10% par korzystających z Programu wymagać będzie zastosowania metod wspomaganego rozrodu                     z wykorzystaniem dawstwa innego niż partnerskie.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Mając na uwadze ograniczenia budżetu miasta Tychy do niniejszego Programu zakwalifikowanych zostanie 25 par rocznie.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wyniku leczenia metodą zapłodnienia pozaustrojowego w ramach niniejszego Programu prognozuje się narodziny około 25 dzieci, co zostało oszacowane na podstawie założonych celów szczegółowych (uzyskanie ciąży u co najmniej 25% par zakwalifikowanych do Programu                         z wykorzystaniem własnych gamet lub z wykorzystaniem nasienia dawcy; uzyskanie ciąży u co najmniej 30% par zakwalifikowanych do Programu z wykorzystaniem komórek jajowych dawczyni; uzyskanie ciąży u co najmniej 20% par zakwalifikowanych do programu adopcji zarodka).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III.2. Kryteria kwalifikacji do programu polityki zdrowotnej oraz kryteria wyłączenia z programu polityki zdrowotnej</w:t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Programu zostaną zakwalifikowane pary, które nie mogą zrealizować planów rozrodczych poprzez spontaniczną koncepcję, które spełniają następujące kryteria:</w:t>
      </w:r>
    </w:p>
    <w:p w:rsidR="00F2016A" w:rsidRDefault="006E1B60">
      <w:pPr>
        <w:numPr>
          <w:ilvl w:val="0"/>
          <w:numId w:val="3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wiek kobiety mieści się w przedziale 20 - 42 lat (w/g rocznika urodzenia);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spełniają określone ustawą warunki podjęcia terapii metodą zapłodnienia pozaustrojowego w ramach dawstwa partnerskiego lub innego niż partnerskie, lub przystąpienia do procedury dawstwa zarodka;</w:t>
      </w:r>
    </w:p>
    <w:p w:rsidR="00F2016A" w:rsidRDefault="006E1B6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mieszkańcami miasta Tychy oraz rozliczają podatek od dochodów osobistych (PIT)              w Tychach;</w:t>
      </w:r>
    </w:p>
    <w:p w:rsidR="00F2016A" w:rsidRDefault="006E1B60">
      <w:pPr>
        <w:numPr>
          <w:ilvl w:val="0"/>
          <w:numId w:val="3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wyraziły zgodę na samodzielne pokrycie kosztów przechowywania </w:t>
      </w:r>
      <w:proofErr w:type="spellStart"/>
      <w:r>
        <w:rPr>
          <w:rFonts w:ascii="Calibri" w:eastAsia="Calibri" w:hAnsi="Calibri" w:cs="Calibri"/>
        </w:rPr>
        <w:t>kriokonserwowanych</w:t>
      </w:r>
      <w:proofErr w:type="spellEnd"/>
      <w:r>
        <w:rPr>
          <w:rFonts w:ascii="Calibri" w:eastAsia="Calibri" w:hAnsi="Calibri" w:cs="Calibri"/>
        </w:rPr>
        <w:t xml:space="preserve"> zarodków oraz ich ewentualnych </w:t>
      </w:r>
      <w:proofErr w:type="spellStart"/>
      <w:r>
        <w:rPr>
          <w:rFonts w:ascii="Calibri" w:eastAsia="Calibri" w:hAnsi="Calibri" w:cs="Calibri"/>
        </w:rPr>
        <w:t>kriotransferów</w:t>
      </w:r>
      <w:proofErr w:type="spellEnd"/>
      <w:r>
        <w:rPr>
          <w:rFonts w:ascii="Calibri" w:eastAsia="Calibri" w:hAnsi="Calibri" w:cs="Calibri"/>
        </w:rPr>
        <w:t xml:space="preserve"> a także na ewentualne pokrycie kosztów </w:t>
      </w:r>
      <w:proofErr w:type="spellStart"/>
      <w:r>
        <w:rPr>
          <w:rFonts w:ascii="Calibri" w:eastAsia="Calibri" w:hAnsi="Calibri" w:cs="Calibri"/>
        </w:rPr>
        <w:t>kriokonserwacji</w:t>
      </w:r>
      <w:proofErr w:type="spellEnd"/>
      <w:r>
        <w:rPr>
          <w:rFonts w:ascii="Calibri" w:eastAsia="Calibri" w:hAnsi="Calibri" w:cs="Calibri"/>
        </w:rPr>
        <w:t xml:space="preserve"> oocytów. </w:t>
      </w:r>
      <w:r>
        <w:rPr>
          <w:rFonts w:ascii="Calibri" w:eastAsia="Calibri" w:hAnsi="Calibri" w:cs="Calibri"/>
        </w:rPr>
        <w:br/>
        <w:t xml:space="preserve"> </w:t>
      </w:r>
    </w:p>
    <w:p w:rsidR="00F2016A" w:rsidRDefault="00F2016A">
      <w:pPr>
        <w:spacing w:before="240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Kryteria wykluczenia stanowią:</w:t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Dla par przystępujących do procedury zapłodnienia pozaustrojowego w ramach dawstwa partnerskiego: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26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potencjalne ryzyko braku prawidłowej odpowiedzi na stymulację jajeczkowania: hormon </w:t>
      </w:r>
      <w:proofErr w:type="spellStart"/>
      <w:r>
        <w:rPr>
          <w:rFonts w:ascii="Calibri" w:eastAsia="Calibri" w:hAnsi="Calibri" w:cs="Calibri"/>
        </w:rPr>
        <w:t>folikulotropowy</w:t>
      </w:r>
      <w:proofErr w:type="spellEnd"/>
      <w:r>
        <w:rPr>
          <w:rFonts w:ascii="Calibri" w:eastAsia="Calibri" w:hAnsi="Calibri" w:cs="Calibri"/>
        </w:rPr>
        <w:t xml:space="preserve"> - FSH powyżej 15 </w:t>
      </w:r>
      <w:proofErr w:type="spellStart"/>
      <w:r>
        <w:rPr>
          <w:rFonts w:ascii="Calibri" w:eastAsia="Calibri" w:hAnsi="Calibri" w:cs="Calibri"/>
        </w:rPr>
        <w:t>mU/m</w:t>
      </w:r>
      <w:proofErr w:type="spellEnd"/>
      <w:r>
        <w:rPr>
          <w:rFonts w:ascii="Calibri" w:eastAsia="Calibri" w:hAnsi="Calibri" w:cs="Calibri"/>
        </w:rPr>
        <w:t xml:space="preserve">L w 2-3 </w:t>
      </w:r>
      <w:r>
        <w:rPr>
          <w:rFonts w:ascii="Calibri" w:eastAsia="Calibri" w:hAnsi="Calibri" w:cs="Calibri"/>
        </w:rPr>
        <w:tab/>
        <w:t xml:space="preserve">dniu cyklu lub hormon </w:t>
      </w:r>
      <w:proofErr w:type="spellStart"/>
      <w:r>
        <w:rPr>
          <w:rFonts w:ascii="Calibri" w:eastAsia="Calibri" w:hAnsi="Calibri" w:cs="Calibri"/>
        </w:rPr>
        <w:t>antymullerowski</w:t>
      </w:r>
      <w:proofErr w:type="spellEnd"/>
      <w:r>
        <w:rPr>
          <w:rFonts w:ascii="Calibri" w:eastAsia="Calibri" w:hAnsi="Calibri" w:cs="Calibri"/>
        </w:rPr>
        <w:t xml:space="preserve"> AMH poniżej 0,7 </w:t>
      </w:r>
      <w:proofErr w:type="spellStart"/>
      <w:r>
        <w:rPr>
          <w:rFonts w:ascii="Calibri" w:eastAsia="Calibri" w:hAnsi="Calibri" w:cs="Calibri"/>
        </w:rPr>
        <w:t>ng/m</w:t>
      </w:r>
      <w:proofErr w:type="spellEnd"/>
      <w:r>
        <w:rPr>
          <w:rFonts w:ascii="Calibri" w:eastAsia="Calibri" w:hAnsi="Calibri" w:cs="Calibri"/>
        </w:rPr>
        <w:t>L;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nawracające utraty ciąż w tym samym związku (więcej niż trzy udokumentowane poronienia);</w:t>
      </w:r>
    </w:p>
    <w:p w:rsidR="00F2016A" w:rsidRDefault="006E1B60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nieodpowiednia reakcja na prawidłowo przeprowadzoną stymulację jajeczkowania, czego </w:t>
      </w:r>
      <w:r>
        <w:rPr>
          <w:rFonts w:ascii="Calibri" w:eastAsia="Calibri" w:hAnsi="Calibri" w:cs="Calibri"/>
        </w:rPr>
        <w:lastRenderedPageBreak/>
        <w:t>wyrazem był brak pozyskania komórek jajowych w dwóch cyklach stymulacji;</w:t>
      </w:r>
    </w:p>
    <w:p w:rsidR="00F2016A" w:rsidRDefault="006E1B60">
      <w:pPr>
        <w:numPr>
          <w:ilvl w:val="0"/>
          <w:numId w:val="2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wady macicy bezwzględnie uniemożliwiające donoszenie ciąży;</w:t>
      </w:r>
    </w:p>
    <w:p w:rsidR="00F2016A" w:rsidRDefault="006E1B60">
      <w:pPr>
        <w:numPr>
          <w:ilvl w:val="0"/>
          <w:numId w:val="26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macicy.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par przystępujących do procedury zapłodnienia pozaustrojowego w ramach dawstwa innego     niż partnerskie - dawstwo męskich komórek rozrodczych:</w:t>
      </w:r>
    </w:p>
    <w:p w:rsidR="00F2016A" w:rsidRDefault="006E1B60">
      <w:pPr>
        <w:numPr>
          <w:ilvl w:val="0"/>
          <w:numId w:val="15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potencjalne ryzyko braku prawidłowej odpowiedzi na stymulację jajeczkowania: hormon </w:t>
      </w:r>
      <w:proofErr w:type="spellStart"/>
      <w:r>
        <w:rPr>
          <w:rFonts w:ascii="Calibri" w:eastAsia="Calibri" w:hAnsi="Calibri" w:cs="Calibri"/>
        </w:rPr>
        <w:t>folikulotropowy</w:t>
      </w:r>
      <w:proofErr w:type="spellEnd"/>
      <w:r>
        <w:rPr>
          <w:rFonts w:ascii="Calibri" w:eastAsia="Calibri" w:hAnsi="Calibri" w:cs="Calibri"/>
        </w:rPr>
        <w:t xml:space="preserve"> - FSH powyżej 15 </w:t>
      </w:r>
      <w:proofErr w:type="spellStart"/>
      <w:r>
        <w:rPr>
          <w:rFonts w:ascii="Calibri" w:eastAsia="Calibri" w:hAnsi="Calibri" w:cs="Calibri"/>
        </w:rPr>
        <w:t>mU/m</w:t>
      </w:r>
      <w:proofErr w:type="spellEnd"/>
      <w:r>
        <w:rPr>
          <w:rFonts w:ascii="Calibri" w:eastAsia="Calibri" w:hAnsi="Calibri" w:cs="Calibri"/>
        </w:rPr>
        <w:t xml:space="preserve">L w 2-3 </w:t>
      </w:r>
      <w:r>
        <w:rPr>
          <w:rFonts w:ascii="Calibri" w:eastAsia="Calibri" w:hAnsi="Calibri" w:cs="Calibri"/>
        </w:rPr>
        <w:tab/>
        <w:t xml:space="preserve">dniu cyklu lub hormon </w:t>
      </w:r>
      <w:proofErr w:type="spellStart"/>
      <w:r>
        <w:rPr>
          <w:rFonts w:ascii="Calibri" w:eastAsia="Calibri" w:hAnsi="Calibri" w:cs="Calibri"/>
        </w:rPr>
        <w:t>antymullerowski</w:t>
      </w:r>
      <w:proofErr w:type="spellEnd"/>
      <w:r>
        <w:rPr>
          <w:rFonts w:ascii="Calibri" w:eastAsia="Calibri" w:hAnsi="Calibri" w:cs="Calibri"/>
        </w:rPr>
        <w:t xml:space="preserve"> AMH poniżej 0,7 </w:t>
      </w:r>
      <w:proofErr w:type="spellStart"/>
      <w:r>
        <w:rPr>
          <w:rFonts w:ascii="Calibri" w:eastAsia="Calibri" w:hAnsi="Calibri" w:cs="Calibri"/>
        </w:rPr>
        <w:t>ng/m</w:t>
      </w:r>
      <w:proofErr w:type="spellEnd"/>
      <w:r>
        <w:rPr>
          <w:rFonts w:ascii="Calibri" w:eastAsia="Calibri" w:hAnsi="Calibri" w:cs="Calibri"/>
        </w:rPr>
        <w:t>L;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nieodpowiednia reakcja na prawidłowo przeprowadzoną stymulację jajeczkowania, czego wyrazem był brak pozyskania komórek jajowych w dwóch cyklach stymulacji;</w:t>
      </w:r>
    </w:p>
    <w:p w:rsidR="00F2016A" w:rsidRDefault="006E1B60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wady macicy bezwzględnie uniemożliwiające donoszenie ciąży;</w:t>
      </w:r>
    </w:p>
    <w:p w:rsidR="00F2016A" w:rsidRDefault="006E1B60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macicy;</w:t>
      </w:r>
    </w:p>
    <w:p w:rsidR="00F2016A" w:rsidRDefault="006E1B60">
      <w:pPr>
        <w:numPr>
          <w:ilvl w:val="0"/>
          <w:numId w:val="15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negatywna opinia zespołu konsultacyjnego powołanego przez Realizatora, w którego skład powinien wejść </w:t>
      </w:r>
      <w:r>
        <w:rPr>
          <w:rFonts w:ascii="Calibri" w:eastAsia="Calibri" w:hAnsi="Calibri" w:cs="Calibri"/>
        </w:rPr>
        <w:tab/>
        <w:t xml:space="preserve">przynajmniej jeden psycholog z praktyką w psychologii leczenia niepłodności konsultujący parę na okoliczność gotowości rodzicielstwa </w:t>
      </w:r>
      <w:proofErr w:type="spellStart"/>
      <w:r>
        <w:rPr>
          <w:rFonts w:ascii="Calibri" w:eastAsia="Calibri" w:hAnsi="Calibri" w:cs="Calibri"/>
        </w:rPr>
        <w:t>niegenetycznego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par przystępujących do procedury zapłodnienia pozaustrojowego w ramach dawstwa innego           niż partnerskie w przypadku dawstwa żeńskich komórek rozrodczych lub do procedury adopcji zarodka:</w:t>
      </w:r>
    </w:p>
    <w:p w:rsidR="00F2016A" w:rsidRDefault="006E1B60">
      <w:pPr>
        <w:numPr>
          <w:ilvl w:val="0"/>
          <w:numId w:val="22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wady macicy bezwzględnie uniemożliwiające donoszenie ciąży;</w:t>
      </w:r>
    </w:p>
    <w:p w:rsidR="00F2016A" w:rsidRDefault="006E1B60">
      <w:pPr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macicy;</w:t>
      </w:r>
    </w:p>
    <w:p w:rsidR="00F2016A" w:rsidRDefault="006E1B60">
      <w:pPr>
        <w:numPr>
          <w:ilvl w:val="0"/>
          <w:numId w:val="2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negatywna opinia zespołu konsultacyjnego powołanego przez Realizatora, w którego skład powinien wejść </w:t>
      </w:r>
      <w:r>
        <w:rPr>
          <w:rFonts w:ascii="Calibri" w:eastAsia="Calibri" w:hAnsi="Calibri" w:cs="Calibri"/>
        </w:rPr>
        <w:tab/>
        <w:t xml:space="preserve">przynajmniej jeden psycholog z praktyką w psychologii leczenia niepłodności konsultujący parę na okoliczność gotowości rodzicielstwa </w:t>
      </w:r>
      <w:proofErr w:type="spellStart"/>
      <w:r>
        <w:rPr>
          <w:rFonts w:ascii="Calibri" w:eastAsia="Calibri" w:hAnsi="Calibri" w:cs="Calibri"/>
        </w:rPr>
        <w:t>niegenetycznego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kwalifikacji do Programu będzie decydowała kolejność zgłoszeń (poprawnie złożonych wniosków) w miarę dostępności miejsc, przy jednoczesnym spełnieniu kryteriów włączenia i braku kryteriów wykluczających z Programu.</w:t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Pacjenci, którzy skorzystają z dofinansowania leczenia w ramach Programu zobligowani będą            do informowania Realizatora Programu o wynikach leczenia, w szczególności o:</w:t>
      </w:r>
    </w:p>
    <w:p w:rsidR="00F2016A" w:rsidRDefault="006E1B60">
      <w:pPr>
        <w:numPr>
          <w:ilvl w:val="0"/>
          <w:numId w:val="4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powodzeniu leczenia;</w:t>
      </w:r>
    </w:p>
    <w:p w:rsidR="00F2016A" w:rsidRDefault="006E1B6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przebiegu ciąży i porodu;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4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sytuacji zdrowotnej dziecka po narodzinach.   </w:t>
      </w:r>
    </w:p>
    <w:p w:rsidR="00F2016A" w:rsidRDefault="006E1B60">
      <w:pPr>
        <w:spacing w:after="24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Powyższe dane w </w:t>
      </w:r>
      <w:proofErr w:type="spellStart"/>
      <w:r>
        <w:rPr>
          <w:rFonts w:ascii="Calibri" w:eastAsia="Calibri" w:hAnsi="Calibri" w:cs="Calibri"/>
        </w:rPr>
        <w:t>zborczej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zanonimizowanej</w:t>
      </w:r>
      <w:proofErr w:type="spellEnd"/>
      <w:r>
        <w:rPr>
          <w:rFonts w:ascii="Calibri" w:eastAsia="Calibri" w:hAnsi="Calibri" w:cs="Calibri"/>
        </w:rPr>
        <w:t xml:space="preserve"> postaci przekazywane będą do Urzędu Miasta Tychy.</w:t>
      </w:r>
      <w:r>
        <w:rPr>
          <w:rFonts w:ascii="Calibri" w:eastAsia="Calibri" w:hAnsi="Calibri" w:cs="Calibri"/>
        </w:rPr>
        <w:br/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III.3. Planowane interwencje</w:t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Każda para zakwalifikowana do niniejszego Programu ma prawo do skorzystania z dofinansowania jednej, zindywidualizowanej procedury medycznie wspomaganej reprodukcji. Warunkiem </w:t>
      </w:r>
      <w:r>
        <w:rPr>
          <w:rFonts w:ascii="Calibri" w:eastAsia="Calibri" w:hAnsi="Calibri" w:cs="Calibri"/>
        </w:rPr>
        <w:lastRenderedPageBreak/>
        <w:t>niezbędnym uzyskania dofinansowania jest zakwalifikowanie pary do Programu przez Realizatora oraz przeprowadzenie co najmniej wymienionych poniżej interwencji (w zależności od sytuacji klinicznej pary):</w:t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Procedura zapłodnienia pozaustrojowego z wykorzystaniem własnych gamet pary (dawstwo partnerskie) lub z wykorzystaniem nasienia dawcy (dawstwo inne niż partnerskie) powinna objąć przeprowadzenie przynajmniej następujących elementów:</w:t>
      </w:r>
    </w:p>
    <w:p w:rsidR="00F2016A" w:rsidRDefault="006E1B60">
      <w:pPr>
        <w:numPr>
          <w:ilvl w:val="0"/>
          <w:numId w:val="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kwalifikacja na podstawie indywidualnej oceny sytuacji klinicznej pary i po przeprowadzeniu niezbędnej diagnostyki, w tym w szczególności wymaganych ustawowo badań;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stymulację mnogiego jajeczkowania wraz z nadzorowaniem jej przebiegu;</w:t>
      </w:r>
    </w:p>
    <w:p w:rsidR="00F2016A" w:rsidRDefault="006E1B60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dobór dawcy nasienia, zgodnie z wymogami ustawy o leczeniu niepłodności (w przypadku dawstwa innego niż partnerskie);</w:t>
      </w:r>
    </w:p>
    <w:p w:rsidR="00F2016A" w:rsidRDefault="006E1B6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punkcja pęcherzyków jajnikowych;</w:t>
      </w:r>
    </w:p>
    <w:p w:rsidR="00F2016A" w:rsidRDefault="006E1B6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znieczulenie ogólne podczas punkcji pęcherzyków jajnikowych;</w:t>
      </w:r>
    </w:p>
    <w:p w:rsidR="00F2016A" w:rsidRDefault="006E1B6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zapłodnienie pozaustrojowe oraz nadzór nad rozwojem zarodków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vitro;</w:t>
      </w:r>
    </w:p>
    <w:p w:rsidR="00F2016A" w:rsidRDefault="006E1B6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transfer zarodków do jamy macicy w cyklu świeżym, jeśli pozwala na to sytuacja kliniczna pacjentki;</w:t>
      </w:r>
    </w:p>
    <w:p w:rsidR="00F2016A" w:rsidRDefault="006E1B60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kriokonserwacja</w:t>
      </w:r>
      <w:proofErr w:type="spellEnd"/>
      <w:r>
        <w:rPr>
          <w:rFonts w:ascii="Calibri" w:eastAsia="Calibri" w:hAnsi="Calibri" w:cs="Calibri"/>
        </w:rPr>
        <w:t xml:space="preserve"> zarodków z zachowanym potencjałem rozwojowym, które nie zostały transferowane do jamy macicy, w celu późniejszego wykorzystania przez parę w kolejnych cyklach.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Procedura zapłodnienia pozaustrojowego z wykorzystaniem żeńskich komórek rozrodczych od anonimowej dawczyni (dawstwo inne niż partnerskie) powinna objąć przeprowadzenie przynajmniej następujących elementów:</w:t>
      </w:r>
    </w:p>
    <w:p w:rsidR="00F2016A" w:rsidRDefault="006E1B60">
      <w:pPr>
        <w:numPr>
          <w:ilvl w:val="0"/>
          <w:numId w:val="19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kwalifikacja na podstawie indywidualnej oceny sytuacji klinicznej pary i po przeprowadzeniu niezbędnej diagnostyki, w tym w szczególności wymaganych ustawowo badań;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dobór dawczyni komórek rozrodczych, zgodnie z wymogami ustawy o leczeniu niepłodności;</w:t>
      </w:r>
    </w:p>
    <w:p w:rsidR="00F2016A" w:rsidRDefault="006E1B6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biorczyni do transferu zarodka/ów;</w:t>
      </w:r>
    </w:p>
    <w:p w:rsidR="00F2016A" w:rsidRDefault="006E1B6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pozaustrojowe zapłodnienie komórek jajowych dawczyni i nadzór nad rozwojem zarodków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vitro;</w:t>
      </w:r>
    </w:p>
    <w:p w:rsidR="00F2016A" w:rsidRDefault="006E1B60">
      <w:pPr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transfer zarodków do jamy macicy w cyklu świeżym, jeśli pozwala na to sytuacja kliniczna pacjentki;</w:t>
      </w:r>
    </w:p>
    <w:p w:rsidR="00F2016A" w:rsidRDefault="006E1B60">
      <w:pPr>
        <w:numPr>
          <w:ilvl w:val="0"/>
          <w:numId w:val="19"/>
        </w:numPr>
        <w:spacing w:after="24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kriokonserwacja</w:t>
      </w:r>
      <w:proofErr w:type="spellEnd"/>
      <w:r>
        <w:rPr>
          <w:rFonts w:ascii="Calibri" w:eastAsia="Calibri" w:hAnsi="Calibri" w:cs="Calibri"/>
        </w:rPr>
        <w:t xml:space="preserve"> zarodków z zachowanym potencjałem rozwojowym, które nie zostały transferowane do jamy macicy w celu późniejszego wykorzystania przez parę w kolejnych cyklach.</w:t>
      </w:r>
      <w:r>
        <w:rPr>
          <w:rFonts w:ascii="Calibri" w:eastAsia="Calibri" w:hAnsi="Calibri" w:cs="Calibri"/>
        </w:rPr>
        <w:br/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Procedura adopcji zarodka (dawstwo inne niż partnerskie) powinna objąć przeprowadzenie przynajmniej następujących elementów:</w:t>
      </w:r>
    </w:p>
    <w:p w:rsidR="00F2016A" w:rsidRDefault="006E1B60">
      <w:pPr>
        <w:numPr>
          <w:ilvl w:val="0"/>
          <w:numId w:val="28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kwalifikacja na podstawie indywidualnej oceny sytuacji klinicznej pary i po przeprowadzeniu niezbędnej diagnostyki, w tym w szczególności wymaganych ustawowo badań;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dobór dawców zarodka, zgodnie z wymogami ustawy o leczeniu </w:t>
      </w:r>
      <w:r>
        <w:rPr>
          <w:rFonts w:ascii="Calibri" w:eastAsia="Calibri" w:hAnsi="Calibri" w:cs="Calibri"/>
        </w:rPr>
        <w:tab/>
        <w:t>niepłodności;</w:t>
      </w:r>
    </w:p>
    <w:p w:rsidR="00F2016A" w:rsidRDefault="006E1B60">
      <w:pPr>
        <w:numPr>
          <w:ilvl w:val="0"/>
          <w:numId w:val="2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biorczyni do transferu zarodka/ów;</w:t>
      </w:r>
    </w:p>
    <w:p w:rsidR="00F2016A" w:rsidRDefault="006E1B60">
      <w:pPr>
        <w:numPr>
          <w:ilvl w:val="0"/>
          <w:numId w:val="28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zarodków i transfer zarodków do jamy macicy.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Każda para zakwalifikowana do niniejszego Programu otrzyma możliwość skorzystania z bezpłatnej </w:t>
      </w:r>
      <w:r>
        <w:rPr>
          <w:rFonts w:ascii="Calibri" w:eastAsia="Calibri" w:hAnsi="Calibri" w:cs="Calibri"/>
        </w:rPr>
        <w:lastRenderedPageBreak/>
        <w:t>wizyty u psychologa posiadającego doświadczenie w pracy z parami niepłodnymi na terenie prowadzonej przez Realizatora działalności. Koszt wizyty zostanie pokryty przez Realizatora Programu, z którego usług korzysta Para.</w:t>
      </w:r>
    </w:p>
    <w:p w:rsidR="00F2016A" w:rsidRDefault="006E1B60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planowane interwencje medyczne pozostają w zgodzie z obowiązującą ustawą o leczeniu niepłodności z dnia 25 czerwca 2015 r. (Dz. U. z 2020 r. poz. 442) oraz z aktualnymi rekomendacjami w leczeniu niepłodności krajowych i międzynarodowych towarzystw naukowych. Stosowane              w ramach Programu metody leczenia powinny mieć udowodnioną naukowo skuteczność przy określonej przyczynie niepłodności lub pomimo braku identyfikacji tej przyczyny.</w:t>
      </w:r>
    </w:p>
    <w:p w:rsidR="00F2016A" w:rsidRDefault="006E1B60">
      <w:pPr>
        <w:spacing w:before="240"/>
        <w:jc w:val="both"/>
      </w:pPr>
      <w:r>
        <w:rPr>
          <w:rFonts w:ascii="Calibri" w:eastAsia="Calibri" w:hAnsi="Calibri" w:cs="Calibri"/>
        </w:rPr>
        <w:t>Diagnostyka przyczyn niepłodności znajduje się w wykazie świadczeń gwarantowanych w zakresie niepłodności kobiecej pochodzenia jajowodowego, szyjkowego, macicznego, niepłodności kobiecej związanej z czynnikami męskimi, niepłodności kobiecej innego pochodzenia oraz niepłodności kobiecej nieokreślonej. W ramach świadczeń gwarantowanych istnieje również możliwość wykonania zabiegu inseminacji domacicznej. Ministerstwo Zdrowia realizuje także „Rządowy program kompleksowej ochrony zdrowia prokreacyjnego w Polsce w 2021-2023 r.”, który obejmuje diagnostykę par niepłodnych, które wcześniej nie były diagnozowane. Niniejszy program polityki zdrowotnej w zakresie leczenia niepłodności metodą zapłodnienia pozaustrojowego dla mieszkańców miasta Tychy umożliwia skorzystanie z procedury zapłodnienia pozaustrojowego                 i metod medycznie wspomaganej reprodukcji, dając tym samym możliwość leczenia parom,               u których zdiagnozowano niepłodność, a inne możliwości terapeutyczne nie istnieją lub zostały wcześniej bezskutecznie wykorzystane</w:t>
      </w:r>
      <w:r>
        <w:rPr>
          <w:rFonts w:ascii="Calibri" w:eastAsia="Calibri" w:hAnsi="Calibri" w:cs="Calibri"/>
          <w:highlight w:val="white"/>
        </w:rPr>
        <w:t>. Zaawansowane techniki wspomaganej medycznie reprodukcji objęte finansowaniem w ramach niniejszego Programu pomimo najwyższej, udowodnionej naukowo skuteczności nie są w chwili obecnej objęte koszykiem świadczeń gwarantowanych Narodowego Funduszu Zdrowia. Tym samym niniejszy Program stanowi uzupełnienie świadczeń gwarantowanych.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III.4. Sposób udzielania świadczeń zdrowotnych w ramach programu profilaktyki zdrowotnej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Realizator zapewni dostęp do świadczeń finansowanych w ramach niniejszego Programu przez 6 dni w tygodniu z zapewnieniem nadzoru embriologicznego nad laboratorium przez 7 dni w tygodniu. Realizator zapewni również możliwość zrealizowania świadczeń w trybie weekendowym (dyżurnym), jeśli będzie tego wymagała sytuacja kliniczna pacjentów, będących uczestnikami Programu. Realizator Programu ma obowiązek zapewnić uczestnikom Programu możliwość rejestracji telefonicznej i elektronicznej, oraz umożliwić im kontakt telefoniczny z personelem medycznym przez 7 dni w tygodniu, 24 godziny na dobę na wypadek powikłań </w:t>
      </w:r>
      <w:proofErr w:type="spellStart"/>
      <w:r>
        <w:rPr>
          <w:rFonts w:ascii="Calibri" w:eastAsia="Calibri" w:hAnsi="Calibri" w:cs="Calibri"/>
        </w:rPr>
        <w:t>pozabiegowych</w:t>
      </w:r>
      <w:proofErr w:type="spellEnd"/>
      <w:r>
        <w:rPr>
          <w:rFonts w:ascii="Calibri" w:eastAsia="Calibri" w:hAnsi="Calibri" w:cs="Calibri"/>
        </w:rPr>
        <w:t>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Pacjenci zakwalifikowani do niniejszego Programu mają prawo do skorzystania z jednorazowego dofinansowania leczenia w wysokości do 10 000 zł do zabiegu zapłodnienia pozaustrojowego             w ramach dawstwa partnerskiego lub innego niż partnerskie, lub do jednorazowego dofinansowania w wysokości do 4 000 zł do procedury adopcji zarodka.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III.5. Sposób zakończenia udziału w programie polityki zdrowotnej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Uczestnicy Programu mają prawo do rezygnacji z uczestnictwa w Programie na każdym jego etapie. Jeżeli procedura zapłodnienia pozaustrojowego zakończy się na wcześniejszym etapie z przyczyn medycznych, dofinansowanie obejmuje przeprowadzone do tego etapu elementy terapii                     </w:t>
      </w:r>
      <w:r>
        <w:rPr>
          <w:rFonts w:ascii="Calibri" w:eastAsia="Calibri" w:hAnsi="Calibri" w:cs="Calibri"/>
        </w:rPr>
        <w:lastRenderedPageBreak/>
        <w:t xml:space="preserve">w wysokości do 10 000 zł. Jeżeli procedura adopcji zarodka zakończy się na wcześniejszym etapie       z przyczyn medycznych, dofinansowanie obejmuje przeprowadzone do tego etapu elementy terapii w wysokości do 4 000 zł. 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uczestnictwa w Programie przed zakończeniem leczenia z przyczyn niemedycznych, para zobowiązana jest sfinansować przeprowadzone procedury z własnych środków.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Opieka nad kobietą będącą w ciąży w efekcie leczenia w ramach niniejszego Programu będzie sprawowana w ramach powszechnie dostępnego systemu opieki perinatalnej.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 ewentualnych kolejnych procedur zapłodnienia pozaustrojowego oraz kolejnych procedur adopcji zarodka poza Programem ponoszony będzie przez pacjentów.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Koszty przechowywania </w:t>
      </w:r>
      <w:proofErr w:type="spellStart"/>
      <w:r>
        <w:rPr>
          <w:rFonts w:ascii="Calibri" w:eastAsia="Calibri" w:hAnsi="Calibri" w:cs="Calibri"/>
        </w:rPr>
        <w:t>kriokonserwowanych</w:t>
      </w:r>
      <w:proofErr w:type="spellEnd"/>
      <w:r>
        <w:rPr>
          <w:rFonts w:ascii="Calibri" w:eastAsia="Calibri" w:hAnsi="Calibri" w:cs="Calibri"/>
        </w:rPr>
        <w:t xml:space="preserve"> zarodków i/lub oocytów powstałych w efekcie przeprowadzonej w ramach Programu procedury zapłodnienia pozaustrojowego, a także koszt późniejszego </w:t>
      </w:r>
      <w:proofErr w:type="spellStart"/>
      <w:r>
        <w:rPr>
          <w:rFonts w:ascii="Calibri" w:eastAsia="Calibri" w:hAnsi="Calibri" w:cs="Calibri"/>
        </w:rPr>
        <w:t>kriotransferu</w:t>
      </w:r>
      <w:proofErr w:type="spellEnd"/>
      <w:r>
        <w:rPr>
          <w:rFonts w:ascii="Calibri" w:eastAsia="Calibri" w:hAnsi="Calibri" w:cs="Calibri"/>
        </w:rPr>
        <w:t xml:space="preserve"> zarodków nie są objęte dofinansowaniem w ramach niniejszego Programu i pozostają kosztami własnymi pacjentów. Koszt późniejszego wykorzystania </w:t>
      </w:r>
      <w:proofErr w:type="spellStart"/>
      <w:r>
        <w:rPr>
          <w:rFonts w:ascii="Calibri" w:eastAsia="Calibri" w:hAnsi="Calibri" w:cs="Calibri"/>
        </w:rPr>
        <w:t>kriokonserwowanych</w:t>
      </w:r>
      <w:proofErr w:type="spellEnd"/>
      <w:r>
        <w:rPr>
          <w:rFonts w:ascii="Calibri" w:eastAsia="Calibri" w:hAnsi="Calibri" w:cs="Calibri"/>
        </w:rPr>
        <w:t xml:space="preserve"> oocytów również pozostaje kosztem własnym pacjentów.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Organizacja programu polityki zdrowotnej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80" w:after="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IV.1. Etapy programu polityki zdrowotnej i działania podejmowane w ramach etapów</w:t>
      </w:r>
    </w:p>
    <w:p w:rsidR="00F2016A" w:rsidRDefault="006E1B60">
      <w:pPr>
        <w:numPr>
          <w:ilvl w:val="0"/>
          <w:numId w:val="11"/>
        </w:numPr>
        <w:spacing w:before="240" w:line="240" w:lineRule="auto"/>
      </w:pPr>
      <w:r>
        <w:rPr>
          <w:rFonts w:ascii="Calibri" w:eastAsia="Calibri" w:hAnsi="Calibri" w:cs="Calibri"/>
        </w:rPr>
        <w:t>Wybór corocznie jednego Realizatora Programu w drodze konkursu ofert, zgodnie z art. 48b ustawy o świadczeniach opieki zdrowotnej finansowanych ze środków publicznych.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11"/>
        </w:numPr>
        <w:spacing w:line="240" w:lineRule="auto"/>
      </w:pPr>
      <w:r>
        <w:rPr>
          <w:rFonts w:ascii="Calibri" w:eastAsia="Calibri" w:hAnsi="Calibri" w:cs="Calibri"/>
        </w:rPr>
        <w:t xml:space="preserve">Przeprowadzenie we współpracy z Realizatorem Programu akcji informacyjnej na temat niniejszego Programu. Informacja na temat Programu zostanie umieszczona na stronie internetowej miasta oraz będzie rozpowszechniana za pomocą miejskich mediów </w:t>
      </w:r>
      <w:proofErr w:type="spellStart"/>
      <w:r>
        <w:rPr>
          <w:rFonts w:ascii="Calibri" w:eastAsia="Calibri" w:hAnsi="Calibri" w:cs="Calibri"/>
        </w:rPr>
        <w:t>społecznościowych</w:t>
      </w:r>
      <w:proofErr w:type="spellEnd"/>
      <w:r>
        <w:rPr>
          <w:rFonts w:ascii="Calibri" w:eastAsia="Calibri" w:hAnsi="Calibri" w:cs="Calibri"/>
        </w:rPr>
        <w:t>. Informacja o Programie zostanie również zostać umieszczona w widocznym miejscu w siedzibach Realizatora Programu (np. wydrukowane ogłoszenie na ścianie poczekalni lub w rejestracji).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</w:p>
    <w:p w:rsidR="00F2016A" w:rsidRDefault="006E1B60">
      <w:pPr>
        <w:numPr>
          <w:ilvl w:val="0"/>
          <w:numId w:val="11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Kwalifikacja do Programu przeprowadzona przez Realizatora – zgodnie z 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III.2. niniejszego Programu oraz realizacja świadczeń medycznych przewidzianych w Programie. </w:t>
      </w:r>
    </w:p>
    <w:p w:rsidR="00F2016A" w:rsidRDefault="00F2016A">
      <w:pPr>
        <w:spacing w:before="240" w:after="240" w:line="240" w:lineRule="auto"/>
        <w:rPr>
          <w:rFonts w:ascii="Calibri" w:eastAsia="Calibri" w:hAnsi="Calibri" w:cs="Calibri"/>
        </w:rPr>
      </w:pPr>
    </w:p>
    <w:p w:rsidR="00F2016A" w:rsidRDefault="006E1B60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umożliwia dofinansowanie do jednej procedury zapłodnienia pozaustrojowego lub jednej procedury adopcji zarodka zakwalifikowanym parom, u których zdiagnozowano niepłodność, a inne możliwości terapeutyczne nie istnieją lub zostały wyczerpane. Program obejmuje dofinansowanie do wysokości 100% kosztów, łącznie nie więcej niż 10 000 zł jednej procedury zapłodnienia pozaustrojowego w ramach dawstwa partnerskiego lub innego niż partnerskie lub dofinansowanie do wysokości 100% kosztów, łącznie nie więcej niż 4 000 zł jednej procedury adopcji zarodka.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Przyjmuje się, że leczenie metodą zapłodnienia pozaustrojowego składa się z części klinicznej                 i biotechnologicznej. Tym samym Program obejmuje:</w:t>
      </w:r>
    </w:p>
    <w:p w:rsidR="00F2016A" w:rsidRDefault="006E1B60">
      <w:pPr>
        <w:numPr>
          <w:ilvl w:val="0"/>
          <w:numId w:val="18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dofinansowanie w kwocie do 10 000 zł do części klinicznej i biotechnologicznej jednej procedury zapłodnienia pozaustrojowego w ramach dawstwa partnerskiego;</w:t>
      </w:r>
    </w:p>
    <w:p w:rsidR="00F2016A" w:rsidRDefault="006E1B60">
      <w:pPr>
        <w:numPr>
          <w:ilvl w:val="0"/>
          <w:numId w:val="16"/>
        </w:numPr>
        <w:spacing w:line="240" w:lineRule="auto"/>
      </w:pPr>
      <w:r>
        <w:rPr>
          <w:rFonts w:ascii="Calibri" w:eastAsia="Calibri" w:hAnsi="Calibri" w:cs="Calibri"/>
        </w:rPr>
        <w:lastRenderedPageBreak/>
        <w:t>dofinansowanie w kwocie do 10 000 zł do części klinicznej i biotechnologicznej jednej procedury zapłodnienia pozaustrojowego w ramach dawstwa innego niż partnerskie              (z wykorzystaniem żeńskich komórek rozrodczych lub męskich komórek rozrodczych);</w:t>
      </w:r>
      <w:r>
        <w:t xml:space="preserve"> </w:t>
      </w:r>
      <w:r>
        <w:tab/>
      </w:r>
    </w:p>
    <w:p w:rsidR="00F2016A" w:rsidRDefault="006E1B60">
      <w:pPr>
        <w:numPr>
          <w:ilvl w:val="0"/>
          <w:numId w:val="16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dofinansowanie w wysokości do 4 000 zł do części klinicznej jednej procedury adopcji zarodka w ramach dawstwa innego niż partnerskie, przy czym do części klinicznej zaliczają się również koszty przechowywania, przetwarzania, dystrybucji  i zastosowania zarodka uzyskanego od dawców.</w:t>
      </w:r>
    </w:p>
    <w:p w:rsidR="00F2016A" w:rsidRDefault="006E1B60">
      <w:pPr>
        <w:spacing w:before="240" w:after="240" w:line="240" w:lineRule="auto"/>
      </w:pPr>
      <w:r>
        <w:rPr>
          <w:rFonts w:ascii="Calibri" w:eastAsia="Calibri" w:hAnsi="Calibri" w:cs="Calibri"/>
        </w:rPr>
        <w:t>Pary przystępujące do Programu zobowiązane są do posiadania aktualnych wyników badań określonych Rozporządzeniem Ministra Zdrowia z dnia 23 października 2015 roku. Koszt wykonania wyżej wymienionych badań może być kosztem dofinansowanym w ramach Programu</w:t>
      </w:r>
      <w:r>
        <w:rPr>
          <w:rFonts w:ascii="Calibri" w:eastAsia="Calibri" w:hAnsi="Calibri" w:cs="Calibri"/>
          <w:i/>
        </w:rPr>
        <w:t>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część kliniczną procedury zapłodnienia pozaustrojowego składa się wykonanie niezbędnych badań laboratoryjnych oraz badań dodatkowych, przeprowadzenie i monitorowanie stymulacji owulacji (w przypadku dawstwa partnerskiego lub dawstwa męskich komórek rozrodczych                  w dawstwie innym niż partnerskie) oraz ewentualny dobór dawcy nasienia (w przypadku dawstwa męskich komórek rozrodczych). W przypadku zapłodnienia pozaustrojowego w ramach dawstwa innego niż partnerskie z wykorzystaniem żeńskiej komórki rozrodczej lub adopcji zarodka, na część kliniczną składa się wykonanie niezbędnych badań laboratoryjnych i dodatkowych, przygotowanie biorczyni do dalszych etapów postępowania zakończonego transferem zarodka, oraz wybór dawczyni komórki jajowej lub dawców zarodka.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część biotechnologiczną procedury zapłodnienia pozaustrojowego składa się punkcja komórek jajowych przeprowadzona w znieczuleniu ogólnym, pobranie nasienia (również - jeżeli zaistnieje taka potrzeba - poprzez biopsję jądra lub biopsję najądrzy), przeprowadzenie procedury zapłodnienia pozaustrojowego, hodowla i nadzór nad rozwojem zarodków oraz ich transfer do macicy                               i </w:t>
      </w:r>
      <w:proofErr w:type="spellStart"/>
      <w:r>
        <w:rPr>
          <w:rFonts w:ascii="Calibri" w:eastAsia="Calibri" w:hAnsi="Calibri" w:cs="Calibri"/>
        </w:rPr>
        <w:t>kriokonserwacja</w:t>
      </w:r>
      <w:proofErr w:type="spellEnd"/>
      <w:r>
        <w:rPr>
          <w:rFonts w:ascii="Calibri" w:eastAsia="Calibri" w:hAnsi="Calibri" w:cs="Calibri"/>
        </w:rPr>
        <w:t xml:space="preserve"> zarodków z zachowanym potencjałem rozwojowym, które nie zostały transferowane.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etap leczenia w ramach Programu: wybór postępowania medycznego, decyzja o zastosowanej metodzie zapłodnienia pozaustrojowego (IVF, ICSI) oraz czasie transferu zarodków do jamy macicy powinny być uzależnione od wskazań do procedury określonych obowiązującą ustawą o leczeniu niepłodności, potencjału rozrodczego i wieku kobiety oraz indywidualnych wyników embriologicznych. Każdorazowo pacjenci zostaną poinformowani o wszelkich dostępnych opcjach terapeutycznych i przewidywanych rezultatach leczenia, tak aby mogli podjąć świadomie decyzję              o leczeniu. Pacjenci zostaną również poinformowani o czynnikach które obniżają lub mogą obniżać ich potencjał reprodukcyjny, w tym o spadku płodności wraz z wiekiem, wpływie na płodność stosowanej diety, używek, trybu życia, poziomu BMI, czy stresu. Pacjenci otrzymają również informację na temat wzrastającego wraz z wiekiem rodziców ryzyka wad wrodzonych u dzieci.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zaistnienia przyczyn uniemożliwiających transferowanie zarodka / zarodków do macicy w cyklu stymulowanym wszystkie zarodki z zachowanym potencjałem rozwoju będą obligatoryjnie </w:t>
      </w:r>
      <w:proofErr w:type="spellStart"/>
      <w:r>
        <w:rPr>
          <w:rFonts w:ascii="Calibri" w:eastAsia="Calibri" w:hAnsi="Calibri" w:cs="Calibri"/>
        </w:rPr>
        <w:t>kriokonserwowane</w:t>
      </w:r>
      <w:proofErr w:type="spellEnd"/>
      <w:r>
        <w:rPr>
          <w:rFonts w:ascii="Calibri" w:eastAsia="Calibri" w:hAnsi="Calibri" w:cs="Calibri"/>
        </w:rPr>
        <w:t xml:space="preserve"> metodą </w:t>
      </w:r>
      <w:proofErr w:type="spellStart"/>
      <w:r>
        <w:rPr>
          <w:rFonts w:ascii="Calibri" w:eastAsia="Calibri" w:hAnsi="Calibri" w:cs="Calibri"/>
        </w:rPr>
        <w:t>witryfikacji</w:t>
      </w:r>
      <w:proofErr w:type="spellEnd"/>
      <w:r>
        <w:rPr>
          <w:rFonts w:ascii="Calibri" w:eastAsia="Calibri" w:hAnsi="Calibri" w:cs="Calibri"/>
        </w:rPr>
        <w:t xml:space="preserve"> i przechowywane w warunkach zapewniających ich należytą ochronę do czasu ich przeniesienia do organizmu biorczyni, zgodnie z art. 23 ustawy o leczeniu niepłodności. Transfer do macicy przechowywanych zarodków powinien być wykonany                        w optymalnym dla danej pacjentki cyklu.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Przechowywanie zarodków zaczyna się od etapu blastocysty. W związku z ograniczeniem liczby przenoszonych do macicy zarodków muszą one być przechowywane pojedynczo. Zgodnie                           z rekomendacjami w leczeniu niepłodności polskich i międzynarodowych towarzystw naukowych,             a także mając na uwadze bezpieczeństwo położnicze kobiety oraz płodu preferowany jest transfer pojedynczego zarodka SET (single </w:t>
      </w:r>
      <w:proofErr w:type="spellStart"/>
      <w:r>
        <w:rPr>
          <w:rFonts w:ascii="Calibri" w:eastAsia="Calibri" w:hAnsi="Calibri" w:cs="Calibri"/>
        </w:rPr>
        <w:t>embryo</w:t>
      </w:r>
      <w:proofErr w:type="spellEnd"/>
      <w:r>
        <w:rPr>
          <w:rFonts w:ascii="Calibri" w:eastAsia="Calibri" w:hAnsi="Calibri" w:cs="Calibri"/>
        </w:rPr>
        <w:t xml:space="preserve"> transfer), a jedynie w klinicznie uzasadnionych </w:t>
      </w:r>
      <w:r>
        <w:rPr>
          <w:rFonts w:ascii="Calibri" w:eastAsia="Calibri" w:hAnsi="Calibri" w:cs="Calibri"/>
        </w:rPr>
        <w:lastRenderedPageBreak/>
        <w:t xml:space="preserve">przypadkach dopuszczony jest transfer lub </w:t>
      </w:r>
      <w:proofErr w:type="spellStart"/>
      <w:r>
        <w:rPr>
          <w:rFonts w:ascii="Calibri" w:eastAsia="Calibri" w:hAnsi="Calibri" w:cs="Calibri"/>
        </w:rPr>
        <w:t>kriotransfer</w:t>
      </w:r>
      <w:proofErr w:type="spellEnd"/>
      <w:r>
        <w:rPr>
          <w:rFonts w:ascii="Calibri" w:eastAsia="Calibri" w:hAnsi="Calibri" w:cs="Calibri"/>
        </w:rPr>
        <w:t xml:space="preserve"> dwóch zarodków i nigdy więcej niż dwóch.                   W przypadku transferowania dwóch zarodków należy bezwzględnie poinformować pacjentów             o związanym z tym ryzyku ciąży mnogiej oraz szczegółowo omówić możliwe konsekwencje zdrowotne dla kobiety i płodów.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9 ustawy o leczeniu niepłodności dopuszcza się zapłodnienie nie więcej niż sześciu żeńskich komórek rozrodczych, chyba że ukończenie przez biorczynię 35. roku życia lub wskazania medyczne wynikające z choroby współistniejącej z niepłodnością lub udokumentowanego, dwukrotnego, nieskutecznego leczenia metodą zapłodnienia pozaustrojowego uzasadniają zapłodnienie większej ich liczby. Zgodnie ze stanowiskiem Polskiego Towarzystwa Medycyny Rozrodu i Embriologii sytuacje, w których przed 35 </w:t>
      </w:r>
      <w:proofErr w:type="spellStart"/>
      <w:r>
        <w:rPr>
          <w:rFonts w:ascii="Calibri" w:eastAsia="Calibri" w:hAnsi="Calibri" w:cs="Calibri"/>
        </w:rPr>
        <w:t>rż</w:t>
      </w:r>
      <w:proofErr w:type="spellEnd"/>
      <w:r>
        <w:rPr>
          <w:rFonts w:ascii="Calibri" w:eastAsia="Calibri" w:hAnsi="Calibri" w:cs="Calibri"/>
        </w:rPr>
        <w:t>. zgodnie z aktualną wiedzą istnieją wskazania medyczne do zapłodnienia więcej niż sześciu komórek jajowych to:</w:t>
      </w:r>
    </w:p>
    <w:p w:rsidR="00F2016A" w:rsidRDefault="006E1B60">
      <w:pPr>
        <w:numPr>
          <w:ilvl w:val="0"/>
          <w:numId w:val="23"/>
        </w:num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ciężki czynnik męski;</w:t>
      </w:r>
    </w:p>
    <w:p w:rsidR="00F2016A" w:rsidRDefault="006E1B60">
      <w:pPr>
        <w:numPr>
          <w:ilvl w:val="0"/>
          <w:numId w:val="2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choroba ogólnoustrojowa o istotnym znaczeniu klinicznym i potencjalnie ciężkim przebiegu, która może istotnie wpłynąć na skuteczność leczenia lub ulec pogorszeniu w wyniku jego prowadzenia, w tym; </w:t>
      </w:r>
      <w:proofErr w:type="spellStart"/>
      <w:r>
        <w:rPr>
          <w:rFonts w:ascii="Calibri" w:eastAsia="Calibri" w:hAnsi="Calibri" w:cs="Calibri"/>
        </w:rPr>
        <w:t>endometrioza</w:t>
      </w:r>
      <w:proofErr w:type="spellEnd"/>
      <w:r>
        <w:rPr>
          <w:rFonts w:ascii="Calibri" w:eastAsia="Calibri" w:hAnsi="Calibri" w:cs="Calibri"/>
        </w:rPr>
        <w:t xml:space="preserve"> III i IV stopnia, choroby nowotworowe, ryzyko wystąpienia choroby zakrzepowo-zatorowej, choroby układowe tkanki łącznej;</w:t>
      </w:r>
    </w:p>
    <w:p w:rsidR="00F2016A" w:rsidRDefault="006E1B60">
      <w:pPr>
        <w:numPr>
          <w:ilvl w:val="0"/>
          <w:numId w:val="2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zachowanie płodności;</w:t>
      </w:r>
    </w:p>
    <w:p w:rsidR="00F2016A" w:rsidRDefault="006E1B60">
      <w:pPr>
        <w:numPr>
          <w:ilvl w:val="0"/>
          <w:numId w:val="2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niska jakość komórek jajowych i (lub) zarodków w poprzednim cyklu leczenia metodą zapłodnienia pozaustrojowego;</w:t>
      </w:r>
    </w:p>
    <w:p w:rsidR="00F2016A" w:rsidRDefault="006E1B60">
      <w:pPr>
        <w:numPr>
          <w:ilvl w:val="0"/>
          <w:numId w:val="2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nieadekwatna do wieku, niska rezerwa jajnikowa;</w:t>
      </w:r>
    </w:p>
    <w:p w:rsidR="00F2016A" w:rsidRDefault="006E1B60">
      <w:pPr>
        <w:numPr>
          <w:ilvl w:val="0"/>
          <w:numId w:val="23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wskazania do diagnostyki </w:t>
      </w:r>
      <w:proofErr w:type="spellStart"/>
      <w:r>
        <w:rPr>
          <w:rFonts w:ascii="Calibri" w:eastAsia="Calibri" w:hAnsi="Calibri" w:cs="Calibri"/>
        </w:rPr>
        <w:t>przedimplantacyjnej</w:t>
      </w:r>
      <w:proofErr w:type="spellEnd"/>
      <w:r>
        <w:rPr>
          <w:rFonts w:ascii="Calibri" w:eastAsia="Calibri" w:hAnsi="Calibri" w:cs="Calibri"/>
        </w:rPr>
        <w:t xml:space="preserve"> zarodków.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Uczestnicy Programu, u których zaistnieje konieczność </w:t>
      </w:r>
      <w:proofErr w:type="spellStart"/>
      <w:r>
        <w:rPr>
          <w:rFonts w:ascii="Calibri" w:eastAsia="Calibri" w:hAnsi="Calibri" w:cs="Calibri"/>
        </w:rPr>
        <w:t>kriokonserwacji</w:t>
      </w:r>
      <w:proofErr w:type="spellEnd"/>
      <w:r>
        <w:rPr>
          <w:rFonts w:ascii="Calibri" w:eastAsia="Calibri" w:hAnsi="Calibri" w:cs="Calibri"/>
        </w:rPr>
        <w:t xml:space="preserve"> komórek jajowych i/lub zarodków uzyskanych w efekcie leczenia w ramach niniejszego Programu ponoszą koszty ich przechowywania i późniejszego zastosowania. Koszty te nie są kosztami dofinansowanymi w ramach niniejszego Programu, pozostając kosztami własnymi par. Informację o konieczności pokrycia kosztów </w:t>
      </w:r>
      <w:proofErr w:type="spellStart"/>
      <w:r>
        <w:rPr>
          <w:rFonts w:ascii="Calibri" w:eastAsia="Calibri" w:hAnsi="Calibri" w:cs="Calibri"/>
        </w:rPr>
        <w:t>kriokonserwacji</w:t>
      </w:r>
      <w:proofErr w:type="spellEnd"/>
      <w:r>
        <w:rPr>
          <w:rFonts w:ascii="Calibri" w:eastAsia="Calibri" w:hAnsi="Calibri" w:cs="Calibri"/>
        </w:rPr>
        <w:t xml:space="preserve"> oocytów i/lub zarodków należy przekazać parom ubiegającym się                   o kwalifikację do Programu. Należy również uzyskać zgodę par ubiegających się o kwalifikację do Programu na poniesienie kosztów </w:t>
      </w:r>
      <w:proofErr w:type="spellStart"/>
      <w:r>
        <w:rPr>
          <w:rFonts w:ascii="Calibri" w:eastAsia="Calibri" w:hAnsi="Calibri" w:cs="Calibri"/>
        </w:rPr>
        <w:t>kriokonserwacji</w:t>
      </w:r>
      <w:proofErr w:type="spellEnd"/>
      <w:r>
        <w:rPr>
          <w:rFonts w:ascii="Calibri" w:eastAsia="Calibri" w:hAnsi="Calibri" w:cs="Calibri"/>
        </w:rPr>
        <w:t xml:space="preserve"> i przechowywania oocytów i/lub zarodków. Wyrażenie powyższej zgody jest warunkiem obligatoryjnym uzyskania kwalifikacji do niniejszego Programu.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sytuacji, kiedy zakwalifikowana do Programu para chciałaby zminimalizować ilość zapłodnionych komórek jajowych, uniknąć </w:t>
      </w:r>
      <w:proofErr w:type="spellStart"/>
      <w:r>
        <w:rPr>
          <w:rFonts w:ascii="Calibri" w:eastAsia="Calibri" w:hAnsi="Calibri" w:cs="Calibri"/>
        </w:rPr>
        <w:t>kriokonserwacji</w:t>
      </w:r>
      <w:proofErr w:type="spellEnd"/>
      <w:r>
        <w:rPr>
          <w:rFonts w:ascii="Calibri" w:eastAsia="Calibri" w:hAnsi="Calibri" w:cs="Calibri"/>
        </w:rPr>
        <w:t xml:space="preserve"> zarodków lub kiedy w dniu punkcji wystąpi nieprzewidziany brak plemników, Realizator ma obowiązek poinformowania pary o możliwości </w:t>
      </w:r>
      <w:proofErr w:type="spellStart"/>
      <w:r>
        <w:rPr>
          <w:rFonts w:ascii="Calibri" w:eastAsia="Calibri" w:hAnsi="Calibri" w:cs="Calibri"/>
        </w:rPr>
        <w:t>kriokonserwacji</w:t>
      </w:r>
      <w:proofErr w:type="spellEnd"/>
      <w:r>
        <w:rPr>
          <w:rFonts w:ascii="Calibri" w:eastAsia="Calibri" w:hAnsi="Calibri" w:cs="Calibri"/>
        </w:rPr>
        <w:t xml:space="preserve"> oocytów w celu ich wykorzystania w kolejnym cyklu zapłodnienia pozaustrojowego jako rozsądnej w tej sytuacji opcji. Jednocześnie należy poinformować pacjentów, że ograniczanie liczby zapłodnionych oocytów znacząco obniża skuteczność terapii - zapłodnienie jednej komórki jajowej daje szansę na urodzenie dziecka na poziomie 4,7%, co stanowi 5-/7-krotne zmniejszenie skuteczności leczenia w stosunku do sytuacji, w której takiego ograniczenia nie ma (</w:t>
      </w:r>
      <w:proofErr w:type="spellStart"/>
      <w:r>
        <w:rPr>
          <w:rFonts w:ascii="Calibri" w:eastAsia="Calibri" w:hAnsi="Calibri" w:cs="Calibri"/>
        </w:rPr>
        <w:t>PTMRiE</w:t>
      </w:r>
      <w:proofErr w:type="spellEnd"/>
      <w:r>
        <w:rPr>
          <w:rFonts w:ascii="Calibri" w:eastAsia="Calibri" w:hAnsi="Calibri" w:cs="Calibri"/>
        </w:rPr>
        <w:t xml:space="preserve">, 2016). Należy również zaznaczyć, że koszt </w:t>
      </w:r>
      <w:proofErr w:type="spellStart"/>
      <w:r>
        <w:rPr>
          <w:rFonts w:ascii="Calibri" w:eastAsia="Calibri" w:hAnsi="Calibri" w:cs="Calibri"/>
        </w:rPr>
        <w:t>kriokonserwacji</w:t>
      </w:r>
      <w:proofErr w:type="spellEnd"/>
      <w:r>
        <w:rPr>
          <w:rFonts w:ascii="Calibri" w:eastAsia="Calibri" w:hAnsi="Calibri" w:cs="Calibri"/>
        </w:rPr>
        <w:t xml:space="preserve"> oocytów oraz koszt ich zapłodnienia w kolejnym cyklu leczenia metodą zapłodnienia pozaustrojowego nie podlegają dofinansowaniu w ramach niniejszego Programu, pozostając kosztami własnymi pary.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Nieokreślone niniejszym Programem działania w zakresie diagnostyki, kwalifikacji do procedury zapłodnienia pozaustrojowego oraz przeprowadzenia procedury zapłodnienia pozaustrojowego będą prowadzone zgodnie z obowiązującą ustawą o leczeniu niepłodności oraz z właściwymi rekomendacjami diagnostyczno-leczniczymi z zakresu leczenia niepłodności.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sytuacji powikłań będących skutkiem leczenia w ramach Programu (np. krwawienia, zespołu </w:t>
      </w:r>
      <w:proofErr w:type="spellStart"/>
      <w:r>
        <w:rPr>
          <w:rFonts w:ascii="Calibri" w:eastAsia="Calibri" w:hAnsi="Calibri" w:cs="Calibri"/>
        </w:rPr>
        <w:t>hiperstymulacji</w:t>
      </w:r>
      <w:proofErr w:type="spellEnd"/>
      <w:r>
        <w:rPr>
          <w:rFonts w:ascii="Calibri" w:eastAsia="Calibri" w:hAnsi="Calibri" w:cs="Calibri"/>
        </w:rPr>
        <w:t>) opiekę przejmują oddziały ginekologiczne w miejscu wykonanego zabiegu lub na terenie województwa śląskiego.</w:t>
      </w:r>
    </w:p>
    <w:p w:rsidR="00F2016A" w:rsidRDefault="00F2016A">
      <w:pPr>
        <w:spacing w:before="280" w:after="80"/>
        <w:jc w:val="both"/>
        <w:rPr>
          <w:rFonts w:ascii="Calibri" w:eastAsia="Calibri" w:hAnsi="Calibri" w:cs="Calibri"/>
          <w:b/>
        </w:rPr>
      </w:pPr>
    </w:p>
    <w:p w:rsidR="00F2016A" w:rsidRDefault="006E1B60">
      <w:pPr>
        <w:spacing w:before="280" w:after="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IV.2. Warunki realizacji programu polityki zdrowotnej dotyczące personelu, wyposażenia i warunków lokalowych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warunkami ustawowymi Realizatorami niniejszego Programu mogą być ośrodki medycznie wspomaganej prokreacji i/lub centra leczenia niepłodności wpisane przez Ministra Zdrowia do rejestru i/lub znajdujące się w wykazie centrów leczenia niepłodności prowadzonym przez Ministra Zdrowia, spełniające warunki określone przepisami Ustawy o leczeniu niepłodności lub działające na podstawie zatwierdzonego przez Ministra Zdrowia Programu Dostosowawczego zgodnie z art. 98 ustawy o leczeniu niepłodności.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Ponadto od Realizatorów wymaga się:</w:t>
      </w:r>
    </w:p>
    <w:p w:rsidR="00F2016A" w:rsidRDefault="006E1B60">
      <w:pPr>
        <w:numPr>
          <w:ilvl w:val="0"/>
          <w:numId w:val="34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stosowania standardów i rekomendacji Polskiego Towarzystwa Ginekologicznego oraz Polskiego Towarzystwa Medycyny Rozrodu i Embriologii;</w:t>
      </w:r>
    </w:p>
    <w:p w:rsidR="00F2016A" w:rsidRDefault="006E1B60">
      <w:pPr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raportowania wyników leczenia metodą zapłodnienia pozaustrojowego i stosowania metod wspomaganego rozrodu do </w:t>
      </w: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Society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Human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Reproduction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Embryology</w:t>
      </w:r>
      <w:proofErr w:type="spellEnd"/>
      <w:r>
        <w:rPr>
          <w:rFonts w:ascii="Calibri" w:eastAsia="Calibri" w:hAnsi="Calibri" w:cs="Calibri"/>
        </w:rPr>
        <w:t xml:space="preserve"> (ESHRE) w ramach programu EIM - </w:t>
      </w: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IVF Monitoring;</w:t>
      </w:r>
    </w:p>
    <w:p w:rsidR="00F2016A" w:rsidRDefault="006E1B60">
      <w:pPr>
        <w:numPr>
          <w:ilvl w:val="0"/>
          <w:numId w:val="27"/>
        </w:numPr>
        <w:spacing w:line="240" w:lineRule="auto"/>
      </w:pPr>
      <w:r>
        <w:rPr>
          <w:rFonts w:ascii="Calibri" w:eastAsia="Calibri" w:hAnsi="Calibri" w:cs="Calibri"/>
        </w:rPr>
        <w:t xml:space="preserve">udokumentowania współpracy z psychologiem posiadającym praktykę w pracy z pacjentami niepłodnymi na terenie prowadzonej przez Realizatora działalności oraz umożliwienia uczestnikom Programu bezpłatnej konsultacji psychologicznej;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7"/>
        </w:numPr>
        <w:spacing w:after="240" w:line="240" w:lineRule="auto"/>
      </w:pPr>
      <w:r>
        <w:rPr>
          <w:rFonts w:ascii="Calibri" w:eastAsia="Calibri" w:hAnsi="Calibri" w:cs="Calibri"/>
        </w:rPr>
        <w:t>respektowania Praw Pacjenta obowiązujących w Polsce, uregulowanych szczególnie                      w Konstytucji Rzeczpospolitej Polskiej i ustawie o prawach pacjenta i Rzeczniku Praw Pacjenta.</w:t>
      </w:r>
      <w:r>
        <w:rPr>
          <w:rFonts w:ascii="Calibri" w:eastAsia="Calibri" w:hAnsi="Calibri" w:cs="Calibri"/>
        </w:rPr>
        <w:br/>
        <w:t xml:space="preserve"> </w:t>
      </w:r>
      <w:r>
        <w:tab/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Sposób monitorowania i ewaluacji programu polityki zdrowotnej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  <w:b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V.1. Monitorowanie</w:t>
      </w:r>
    </w:p>
    <w:p w:rsidR="00F2016A" w:rsidRDefault="006E1B60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podlega monitoringowi przez podmiot działalności leczniczej będący jego Realizatorem. Realizator Programu jest zobowiązany do gromadzenia informacji na temat </w:t>
      </w:r>
      <w:proofErr w:type="spellStart"/>
      <w:r>
        <w:rPr>
          <w:rFonts w:ascii="Calibri" w:eastAsia="Calibri" w:hAnsi="Calibri" w:cs="Calibri"/>
        </w:rPr>
        <w:t>zgłaszalności</w:t>
      </w:r>
      <w:proofErr w:type="spellEnd"/>
      <w:r>
        <w:rPr>
          <w:rFonts w:ascii="Calibri" w:eastAsia="Calibri" w:hAnsi="Calibri" w:cs="Calibri"/>
        </w:rPr>
        <w:t xml:space="preserve"> do Programu oraz jakości i efektywności świadczeń udzielanych w ramach Programu. Zestawione, </w:t>
      </w:r>
      <w:proofErr w:type="spellStart"/>
      <w:r>
        <w:rPr>
          <w:rFonts w:ascii="Calibri" w:eastAsia="Calibri" w:hAnsi="Calibri" w:cs="Calibri"/>
        </w:rPr>
        <w:t>zanonimizowane</w:t>
      </w:r>
      <w:proofErr w:type="spellEnd"/>
      <w:r>
        <w:rPr>
          <w:rFonts w:ascii="Calibri" w:eastAsia="Calibri" w:hAnsi="Calibri" w:cs="Calibri"/>
        </w:rPr>
        <w:t xml:space="preserve"> dane  winien przekazywać do Wydziału Spraw Społecznych i Zdrowia Urzędu Miasta Tychy. </w:t>
      </w:r>
    </w:p>
    <w:p w:rsidR="00F2016A" w:rsidRDefault="006E1B60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monitorowania Programu co kwartał będzie dokonywana:</w:t>
      </w:r>
    </w:p>
    <w:p w:rsidR="00F2016A" w:rsidRDefault="006E1B60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ocena </w:t>
      </w:r>
      <w:proofErr w:type="spellStart"/>
      <w:r>
        <w:rPr>
          <w:rFonts w:ascii="Calibri" w:eastAsia="Calibri" w:hAnsi="Calibri" w:cs="Calibri"/>
        </w:rPr>
        <w:t>zgłaszalności</w:t>
      </w:r>
      <w:proofErr w:type="spellEnd"/>
      <w:r>
        <w:rPr>
          <w:rFonts w:ascii="Calibri" w:eastAsia="Calibri" w:hAnsi="Calibri" w:cs="Calibri"/>
        </w:rPr>
        <w:t xml:space="preserve"> do programu, w tym monitoring:</w:t>
      </w:r>
    </w:p>
    <w:p w:rsidR="00F2016A" w:rsidRDefault="006E1B60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liczby zgłoszonych do Programu par;</w:t>
      </w:r>
    </w:p>
    <w:p w:rsidR="00F2016A" w:rsidRDefault="006E1B60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odsetka par zakwalifikowanych i niezakwalifikowanych do Programu;</w:t>
      </w:r>
    </w:p>
    <w:p w:rsidR="00F2016A" w:rsidRDefault="006E1B60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liczby przeprowadzonych procedur zapłodnienia pozaustrojowego;</w:t>
      </w:r>
    </w:p>
    <w:p w:rsidR="00F2016A" w:rsidRDefault="006E1B60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ocena jakości i efektywności świadczeń w programie polityki zdrowotnej, w tym monitoring:</w:t>
      </w:r>
    </w:p>
    <w:p w:rsidR="00F2016A" w:rsidRDefault="006E1B60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liczby i odsetka ciąż;</w:t>
      </w:r>
    </w:p>
    <w:p w:rsidR="00F2016A" w:rsidRDefault="006E1B60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liczby i odsetka procedur zakończonych niepowodzeniem;</w:t>
      </w:r>
    </w:p>
    <w:p w:rsidR="00F2016A" w:rsidRDefault="006E1B60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przyczyn niepowodzeń procedur zapłodnienia pozaustrojowego wykonanych                    w ramach Programu;</w:t>
      </w:r>
    </w:p>
    <w:p w:rsidR="00F2016A" w:rsidRDefault="006E1B60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liczby i odsetka urodzeń żywych (od 4 kwartału funkcjonowania Programu)</w:t>
      </w:r>
    </w:p>
    <w:p w:rsidR="00F2016A" w:rsidRDefault="006E1B60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poziomu satysfakcji uczestników Programu (ankieta, załącznik nr 1).</w:t>
      </w:r>
    </w:p>
    <w:p w:rsidR="00F2016A" w:rsidRDefault="006E1B60">
      <w:pPr>
        <w:spacing w:before="240" w:after="240" w:line="240" w:lineRule="auto"/>
      </w:pPr>
      <w:r>
        <w:rPr>
          <w:rFonts w:ascii="Calibri" w:eastAsia="Calibri" w:hAnsi="Calibri" w:cs="Calibri"/>
        </w:rPr>
        <w:t>Powyższe wskaźniki mogą zostać wykorzystane przy ewaluacji Programu.</w:t>
      </w:r>
      <w:r>
        <w:br/>
      </w:r>
    </w:p>
    <w:p w:rsidR="00F2016A" w:rsidRDefault="006E1B60">
      <w:pPr>
        <w:spacing w:before="48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V.2. Ewaluacja</w:t>
      </w:r>
    </w:p>
    <w:p w:rsidR="00F2016A" w:rsidRDefault="006E1B60">
      <w:pPr>
        <w:spacing w:before="48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Ewaluacja Programu będzie prowadzona przez podmiot działalności leczniczej będący jego Realizatorem na podstawie załącznika nr 2. Zestawione, </w:t>
      </w:r>
      <w:proofErr w:type="spellStart"/>
      <w:r>
        <w:rPr>
          <w:rFonts w:ascii="Calibri" w:eastAsia="Calibri" w:hAnsi="Calibri" w:cs="Calibri"/>
        </w:rPr>
        <w:t>zanonimizowane</w:t>
      </w:r>
      <w:proofErr w:type="spellEnd"/>
      <w:r>
        <w:rPr>
          <w:rFonts w:ascii="Calibri" w:eastAsia="Calibri" w:hAnsi="Calibri" w:cs="Calibri"/>
        </w:rPr>
        <w:t xml:space="preserve"> dane statystyczne będą przekazywane przez Realizatora Programu do Wydziału Spraw Społecznych i Zdrowia Urzędu Miasta Tychy. Przedmiotem ewaluacji będą:</w:t>
      </w:r>
    </w:p>
    <w:p w:rsidR="00F2016A" w:rsidRDefault="006E1B60">
      <w:pPr>
        <w:numPr>
          <w:ilvl w:val="0"/>
          <w:numId w:val="24"/>
        </w:numPr>
        <w:spacing w:before="24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zgłaszalność</w:t>
      </w:r>
      <w:proofErr w:type="spellEnd"/>
      <w:r>
        <w:rPr>
          <w:rFonts w:ascii="Calibri" w:eastAsia="Calibri" w:hAnsi="Calibri" w:cs="Calibri"/>
        </w:rPr>
        <w:t xml:space="preserve"> do Programu;</w:t>
      </w:r>
    </w:p>
    <w:p w:rsidR="00F2016A" w:rsidRDefault="006E1B60">
      <w:pPr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skuteczności świadczeń wykonywanych w ramach Programu;</w:t>
      </w:r>
    </w:p>
    <w:p w:rsidR="00F2016A" w:rsidRDefault="006E1B60">
      <w:pPr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dzieci urodzonych w skutek świadczeń medycznych, zrealizowanych w ramach Programu;</w:t>
      </w:r>
    </w:p>
    <w:p w:rsidR="00F2016A" w:rsidRDefault="006E1B60">
      <w:pPr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liczba i odsetek ciąż </w:t>
      </w:r>
      <w:proofErr w:type="spellStart"/>
      <w:r>
        <w:rPr>
          <w:rFonts w:ascii="Calibri" w:eastAsia="Calibri" w:hAnsi="Calibri" w:cs="Calibri"/>
        </w:rPr>
        <w:t>wielopłodowych</w:t>
      </w:r>
      <w:proofErr w:type="spellEnd"/>
      <w:r>
        <w:rPr>
          <w:rFonts w:ascii="Calibri" w:eastAsia="Calibri" w:hAnsi="Calibri" w:cs="Calibri"/>
        </w:rPr>
        <w:t>;</w:t>
      </w:r>
    </w:p>
    <w:p w:rsidR="00F2016A" w:rsidRDefault="006E1B60">
      <w:pPr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wskaźnik powikłań w postaci zespołu </w:t>
      </w:r>
      <w:proofErr w:type="spellStart"/>
      <w:r>
        <w:rPr>
          <w:rFonts w:ascii="Calibri" w:eastAsia="Calibri" w:hAnsi="Calibri" w:cs="Calibri"/>
        </w:rPr>
        <w:t>hiperstymulacji</w:t>
      </w:r>
      <w:proofErr w:type="spellEnd"/>
      <w:r>
        <w:rPr>
          <w:rFonts w:ascii="Calibri" w:eastAsia="Calibri" w:hAnsi="Calibri" w:cs="Calibri"/>
        </w:rPr>
        <w:t>;</w:t>
      </w:r>
    </w:p>
    <w:p w:rsidR="00F2016A" w:rsidRDefault="006E1B60">
      <w:pPr>
        <w:numPr>
          <w:ilvl w:val="0"/>
          <w:numId w:val="24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określenie możliwych przyczyn niepowodzenia leczenia u par, u których leczenie w ramach Programu skończyło się niepowodzeniem.</w:t>
      </w:r>
    </w:p>
    <w:p w:rsidR="00F2016A" w:rsidRDefault="00F2016A">
      <w:pPr>
        <w:spacing w:after="240" w:line="240" w:lineRule="auto"/>
        <w:ind w:left="720"/>
        <w:rPr>
          <w:rFonts w:ascii="Calibri" w:eastAsia="Calibri" w:hAnsi="Calibri" w:cs="Calibri"/>
        </w:rPr>
      </w:pPr>
    </w:p>
    <w:p w:rsidR="00F2016A" w:rsidRDefault="006E1B60">
      <w:pPr>
        <w:spacing w:after="24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Raport końcowy z realizacji programu polityki zdrowotnej zostanie opracowany na podstawie dostarczonych przez Realizatora Programu zestawionych, </w:t>
      </w:r>
      <w:proofErr w:type="spellStart"/>
      <w:r>
        <w:rPr>
          <w:rFonts w:ascii="Calibri" w:eastAsia="Calibri" w:hAnsi="Calibri" w:cs="Calibri"/>
        </w:rPr>
        <w:t>zanonimizowanych</w:t>
      </w:r>
      <w:proofErr w:type="spellEnd"/>
      <w:r>
        <w:rPr>
          <w:rFonts w:ascii="Calibri" w:eastAsia="Calibri" w:hAnsi="Calibri" w:cs="Calibri"/>
        </w:rPr>
        <w:t xml:space="preserve"> danych przez Wydział Spraw Społecznych i Zdrowia Urzędu Miasta Tychy.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 Budżet programu polityki zdrowotnej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VI.1. Koszty jednostkowe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podstawie dostępnych na stronach internetowych cenników ośrodków wykonujących procedury zapłodnienia pozaustrojowego można oszacować, że koszt jednej procedury zapłodnienia pozaustrojowego wynosi od około 6 500 - 12 000 zł (w przypadku dawstwa partnerskiego) do około  12 000 - 24 000 zł (w przypadku procedury zapłodnienia pozaustrojowego z wykorzystaniem żeńskich komórek rozrodczych w dawstwie innym niż partnerskie). Koszt jednej procedury dawstwa zarodka (adopcji zarodka) wynosi około 4500 zł.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ramach niniejszego Programu uczestnikom przysługuje możliwość dofinansowania do jednej </w:t>
      </w:r>
      <w:r>
        <w:rPr>
          <w:rFonts w:ascii="Calibri" w:eastAsia="Calibri" w:hAnsi="Calibri" w:cs="Calibri"/>
        </w:rPr>
        <w:lastRenderedPageBreak/>
        <w:t>procedury zapłodnienia pozaustrojowego w wysokości do 10 000 zł (w dawstwie partnerskim lub innym niż partnerskie) lub możliwość dofinansowania do jednej procedury dawstwa zarodka (adopcji zarodka) w wysokości do 4 000 zł. W każdym z wymienionych przypadków warunkiem uzyskania dofinansowania jest przeprowadzenie co najmniej jednej procedury składającej się co najmniej                  z etapów wymienionych w punkcie III.3. Pozostałe koszty procedury – jeśli wystąpią - pozostaną kosztami własnymi pacjentów.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procedura zapłodnienia pozaustrojowego lub dawstwa zarodka zakończy się na wcześniejszym etapie z przyczyn medycznych to dofinansowanie obejmuje przeprowadzone do tego etapu elementy, w wysokości do 100% kosztów (łącznie nie więcej niż 10 000 zł dla procedury zapłodnienia pozaustrojowego i 4 000 zł dla procedury dawstwa zarodka).</w:t>
      </w:r>
    </w:p>
    <w:p w:rsidR="00F2016A" w:rsidRDefault="00F2016A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planowanego niniejszym Programem dofinansowania do procedur zapłodnienia pozaustrojowego oraz do procedur dawstwa zarodka Realizator Programu ma obowiązek przeprowadzić:</w:t>
      </w:r>
    </w:p>
    <w:p w:rsidR="00F2016A" w:rsidRDefault="006E1B60">
      <w:pPr>
        <w:numPr>
          <w:ilvl w:val="0"/>
          <w:numId w:val="35"/>
        </w:num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akcję informacyjną promującą Program (np. ogłoszenia o </w:t>
      </w:r>
      <w:proofErr w:type="spellStart"/>
      <w:r>
        <w:rPr>
          <w:rFonts w:ascii="Calibri" w:eastAsia="Calibri" w:hAnsi="Calibri" w:cs="Calibri"/>
        </w:rPr>
        <w:t>realizacj</w:t>
      </w:r>
      <w:proofErr w:type="spellEnd"/>
      <w:r>
        <w:rPr>
          <w:rFonts w:ascii="Calibri" w:eastAsia="Calibri" w:hAnsi="Calibri" w:cs="Calibri"/>
        </w:rPr>
        <w:t xml:space="preserve"> Programu na swoich stronach internetowych, ogłoszenia w siedzibie Realizatora);</w:t>
      </w:r>
    </w:p>
    <w:p w:rsidR="00F2016A" w:rsidRDefault="006E1B60">
      <w:pPr>
        <w:numPr>
          <w:ilvl w:val="0"/>
          <w:numId w:val="35"/>
        </w:num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kwalifikację par do niniejszego Programu;</w:t>
      </w:r>
    </w:p>
    <w:p w:rsidR="00F2016A" w:rsidRDefault="006E1B60">
      <w:pPr>
        <w:numPr>
          <w:ilvl w:val="0"/>
          <w:numId w:val="35"/>
        </w:num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planowane w ramach Programu interwencje wymienione w punkcie III.3;</w:t>
      </w:r>
    </w:p>
    <w:p w:rsidR="00F2016A" w:rsidRDefault="006E1B60">
      <w:pPr>
        <w:numPr>
          <w:ilvl w:val="0"/>
          <w:numId w:val="35"/>
        </w:num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bieżący monitoring, ewaluację i sprawozdawczość </w:t>
      </w:r>
      <w:proofErr w:type="spellStart"/>
      <w:r>
        <w:rPr>
          <w:rFonts w:ascii="Calibri" w:eastAsia="Calibri" w:hAnsi="Calibri" w:cs="Calibri"/>
        </w:rPr>
        <w:t>merytoryczo-statystyczną</w:t>
      </w:r>
      <w:proofErr w:type="spellEnd"/>
      <w:r>
        <w:rPr>
          <w:rFonts w:ascii="Calibri" w:eastAsia="Calibri" w:hAnsi="Calibri" w:cs="Calibri"/>
        </w:rPr>
        <w:t>, zgodnie z zapisami Programu.</w:t>
      </w:r>
    </w:p>
    <w:p w:rsidR="00F2016A" w:rsidRDefault="00F2016A">
      <w:pPr>
        <w:spacing w:before="280" w:after="80" w:line="240" w:lineRule="auto"/>
        <w:jc w:val="both"/>
        <w:rPr>
          <w:rFonts w:ascii="Calibri" w:eastAsia="Calibri" w:hAnsi="Calibri" w:cs="Calibri"/>
          <w:b/>
        </w:rPr>
      </w:pPr>
    </w:p>
    <w:p w:rsidR="00F2016A" w:rsidRDefault="006E1B60">
      <w:pPr>
        <w:spacing w:before="280" w:after="8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VI.2. Koszty całkowite</w:t>
      </w:r>
    </w:p>
    <w:p w:rsidR="00F2016A" w:rsidRDefault="006E1B60">
      <w:pPr>
        <w:spacing w:before="280" w:after="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Roczny koszt interwencji przewidzianych w Programie wyniesie 250 000 zł (dofinansowanie               do zabiegu zapłodnienia pozaustrojowego 25 parom - 25x10 000 zł).</w:t>
      </w:r>
    </w:p>
    <w:p w:rsidR="00F2016A" w:rsidRDefault="006E1B60">
      <w:pPr>
        <w:spacing w:before="280" w:after="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Akcja promocyjna, bieżący monitoring i ewaluacja będą przeprowadzone przez Realizatora Programu i nie generują dodatkowych kosztów. </w:t>
      </w:r>
    </w:p>
    <w:p w:rsidR="00F2016A" w:rsidRDefault="006E1B60">
      <w:pPr>
        <w:spacing w:before="280" w:after="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Całkowity koszt funkcjonowania Programu w latach w 2022 - 2025 wyniesie 1 000 </w:t>
      </w:r>
      <w:proofErr w:type="spellStart"/>
      <w:r>
        <w:rPr>
          <w:rFonts w:ascii="Calibri" w:eastAsia="Calibri" w:hAnsi="Calibri" w:cs="Calibri"/>
        </w:rPr>
        <w:t>000</w:t>
      </w:r>
      <w:proofErr w:type="spellEnd"/>
      <w:r>
        <w:rPr>
          <w:rFonts w:ascii="Calibri" w:eastAsia="Calibri" w:hAnsi="Calibri" w:cs="Calibri"/>
        </w:rPr>
        <w:t xml:space="preserve"> zł.</w:t>
      </w:r>
    </w:p>
    <w:p w:rsidR="00F2016A" w:rsidRDefault="00F2016A">
      <w:pPr>
        <w:spacing w:before="280" w:after="80"/>
        <w:jc w:val="both"/>
      </w:pPr>
    </w:p>
    <w:p w:rsidR="00F2016A" w:rsidRDefault="006E1B60">
      <w:pPr>
        <w:spacing w:before="280" w:after="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VI.3. Źródła finansowania</w:t>
      </w: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zostanie w całości sfinansowany z budżetu miasta Tychy.</w:t>
      </w:r>
    </w:p>
    <w:p w:rsidR="00F2016A" w:rsidRDefault="00F2016A">
      <w:pPr>
        <w:spacing w:before="240" w:line="240" w:lineRule="auto"/>
        <w:jc w:val="both"/>
      </w:pPr>
    </w:p>
    <w:p w:rsidR="00F2016A" w:rsidRDefault="00F2016A">
      <w:pPr>
        <w:spacing w:before="240" w:line="240" w:lineRule="auto"/>
      </w:pPr>
    </w:p>
    <w:p w:rsidR="00F2016A" w:rsidRDefault="00F2016A">
      <w:pPr>
        <w:spacing w:before="240" w:line="240" w:lineRule="auto"/>
      </w:pPr>
    </w:p>
    <w:p w:rsidR="00F2016A" w:rsidRDefault="00F2016A">
      <w:pPr>
        <w:spacing w:before="240" w:line="240" w:lineRule="auto"/>
      </w:pPr>
    </w:p>
    <w:p w:rsidR="006E1B60" w:rsidRDefault="006E1B60">
      <w:pPr>
        <w:spacing w:before="240" w:line="240" w:lineRule="auto"/>
        <w:jc w:val="both"/>
        <w:rPr>
          <w:rFonts w:ascii="Calibri" w:eastAsia="Calibri" w:hAnsi="Calibri" w:cs="Calibri"/>
          <w:u w:val="single"/>
        </w:rPr>
      </w:pPr>
    </w:p>
    <w:p w:rsidR="00F2016A" w:rsidRDefault="006E1B60">
      <w:pPr>
        <w:spacing w:before="24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Opracowano na podstawie:</w:t>
      </w:r>
    </w:p>
    <w:p w:rsidR="00F2016A" w:rsidRDefault="00F2016A">
      <w:pPr>
        <w:spacing w:before="240" w:line="240" w:lineRule="auto"/>
        <w:jc w:val="both"/>
      </w:pPr>
    </w:p>
    <w:p w:rsidR="00F2016A" w:rsidRDefault="006E1B60">
      <w:pPr>
        <w:numPr>
          <w:ilvl w:val="0"/>
          <w:numId w:val="30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Ustawa </w:t>
      </w:r>
      <w:r>
        <w:rPr>
          <w:rFonts w:ascii="Calibri" w:eastAsia="Calibri" w:hAnsi="Calibri" w:cs="Calibri"/>
        </w:rPr>
        <w:tab/>
        <w:t xml:space="preserve">o leczeniu niepłodności z dnia 25 czerwca 2015 r. (Dz. U. z 2020 </w:t>
      </w:r>
      <w:r>
        <w:rPr>
          <w:rFonts w:ascii="Calibri" w:eastAsia="Calibri" w:hAnsi="Calibri" w:cs="Calibri"/>
        </w:rPr>
        <w:tab/>
        <w:t>r. poz. 442);</w:t>
      </w:r>
      <w:r>
        <w:rPr>
          <w:rFonts w:ascii="Calibri" w:eastAsia="Calibri" w:hAnsi="Calibri" w:cs="Calibri"/>
        </w:rPr>
        <w:br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 xml:space="preserve">Ustawa </w:t>
      </w:r>
      <w:r>
        <w:rPr>
          <w:rFonts w:ascii="Calibri" w:eastAsia="Calibri" w:hAnsi="Calibri" w:cs="Calibri"/>
        </w:rPr>
        <w:tab/>
        <w:t>o świadczeniach opieki zdrowotnej finansowanych ze środków publicznych z dnia 27 sierpnia 2004 r. (Dz. U. z 2021 r. poz. 1285);</w:t>
      </w:r>
      <w:r>
        <w:t xml:space="preserve"> </w:t>
      </w:r>
      <w:r>
        <w:tab/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>Rozporządzenie Ministra Zdrowia z dnia 22 grudnia 2017 r. w sprawie wzoru programu polityki zdrowotnej, wzoru raportu końcowego z realizacji programu polityki zdrowotnej oraz sposobu sporządzenia projektu programu polityki zdrowotnej i raportu końcowego z realizacji programu polityki zdrowotnej;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>Narodowy Program Leczenia Niepłodności Metodą Zapłodnienia Pozaustrojowego na lata 2013 – 2016;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>Program Polityki Zdrowotnej „Leczenie niepłodności metodą zapłodnienia pozaustrojowego dla mieszkańców miasta Poznania w latach 2017-2020”;</w:t>
      </w:r>
      <w:r>
        <w:t xml:space="preserve"> </w:t>
      </w:r>
      <w:r>
        <w:tab/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>Program Zdrowotny Miasta Częstochowy "Leczenie niepłodności metodą zapłodnienia pozaustrojowego dla mieszkańców miasta Częstochowy w latach w latach 2012 – 2014”;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before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Opinia </w:t>
      </w:r>
      <w:r>
        <w:rPr>
          <w:rFonts w:ascii="Calibri" w:eastAsia="Calibri" w:hAnsi="Calibri" w:cs="Calibri"/>
        </w:rPr>
        <w:tab/>
        <w:t>Prezesa Agencji Oceny Technologii Medycznych i Taryfikacji nr 80/2020 z dnia 6 listopada 2020 r. o projekcie programu polityki zdrowotnej pn. „Program Polityki Zdrowotnej w zakresie leczenia niepłodności metodą zapłodnienia pozaustrojowego dla mieszkańców województwa warmińsko-mazurskiego na 2021 rok”;</w:t>
      </w:r>
    </w:p>
    <w:p w:rsidR="00F2016A" w:rsidRDefault="006E1B60">
      <w:pPr>
        <w:numPr>
          <w:ilvl w:val="0"/>
          <w:numId w:val="25"/>
        </w:numPr>
        <w:spacing w:before="200" w:line="240" w:lineRule="auto"/>
      </w:pPr>
      <w:r>
        <w:rPr>
          <w:rFonts w:ascii="Calibri" w:eastAsia="Calibri" w:hAnsi="Calibri" w:cs="Calibri"/>
        </w:rPr>
        <w:t>Opinia Prezesa Agencji Oceny Technologii Medycznych i Taryfikacji nr 19/2021 z dnia 22 marca 2021 r. o projekcie programu polityki zdrowotnej pn. „Program polityki zdrowotnej    w zakresie diagnozowania i leczenia niepłodności dla mieszkańców gminy Świebodzin”;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>Mapa potrzeb zdrowotnych w zakresie chorób układu moczowo-płciowego kobiet dla województwa śląskiego;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>Mapa potrzeb zdrowotnych w zakresie nienowotworowych chorób układu płciowego mężczyzn dla województwa śląskiego;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</w:pPr>
      <w:r>
        <w:rPr>
          <w:rFonts w:ascii="Calibri" w:eastAsia="Calibri" w:hAnsi="Calibri" w:cs="Calibri"/>
        </w:rPr>
        <w:t xml:space="preserve">Radwan J., Wołczyński S. (red.), Niepłodność i rozród wspomagany, Poznań, </w:t>
      </w:r>
      <w:proofErr w:type="spellStart"/>
      <w:r>
        <w:rPr>
          <w:rFonts w:ascii="Calibri" w:eastAsia="Calibri" w:hAnsi="Calibri" w:cs="Calibri"/>
        </w:rPr>
        <w:t>Termedia</w:t>
      </w:r>
      <w:proofErr w:type="spellEnd"/>
      <w:r>
        <w:rPr>
          <w:rFonts w:ascii="Calibri" w:eastAsia="Calibri" w:hAnsi="Calibri" w:cs="Calibri"/>
        </w:rPr>
        <w:t>, 2011;</w:t>
      </w:r>
      <w:r>
        <w:rPr>
          <w:rFonts w:ascii="Calibri" w:eastAsia="Calibri" w:hAnsi="Calibri" w:cs="Calibri"/>
        </w:rPr>
        <w:br/>
      </w:r>
      <w:r>
        <w:t xml:space="preserve"> </w:t>
      </w:r>
      <w:r>
        <w:tab/>
      </w:r>
    </w:p>
    <w:p w:rsidR="00F2016A" w:rsidRDefault="006E1B60">
      <w:pPr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Revised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guidelines</w:t>
      </w:r>
      <w:proofErr w:type="spellEnd"/>
      <w:r>
        <w:rPr>
          <w:rFonts w:ascii="Calibri" w:eastAsia="Calibri" w:hAnsi="Calibri" w:cs="Calibri"/>
        </w:rPr>
        <w:t xml:space="preserve"> for </w:t>
      </w:r>
      <w:proofErr w:type="spellStart"/>
      <w:r>
        <w:rPr>
          <w:rFonts w:ascii="Calibri" w:eastAsia="Calibri" w:hAnsi="Calibri" w:cs="Calibri"/>
        </w:rPr>
        <w:t>good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practice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IVF laboratories, ESHRE 2015;</w:t>
      </w:r>
    </w:p>
    <w:p w:rsidR="00F2016A" w:rsidRDefault="006E1B60">
      <w:pPr>
        <w:numPr>
          <w:ilvl w:val="0"/>
          <w:numId w:val="25"/>
        </w:numPr>
        <w:spacing w:before="200" w:line="240" w:lineRule="auto"/>
      </w:pPr>
      <w:proofErr w:type="spellStart"/>
      <w:r>
        <w:rPr>
          <w:rFonts w:ascii="Calibri" w:eastAsia="Calibri" w:hAnsi="Calibri" w:cs="Calibri"/>
        </w:rPr>
        <w:t>Fertility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problems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assessment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treatment</w:t>
      </w:r>
      <w:proofErr w:type="spellEnd"/>
      <w:r>
        <w:rPr>
          <w:rFonts w:ascii="Calibri" w:eastAsia="Calibri" w:hAnsi="Calibri" w:cs="Calibri"/>
        </w:rPr>
        <w:t xml:space="preserve">, NICE 2013; </w:t>
      </w:r>
      <w:r>
        <w:tab/>
      </w:r>
    </w:p>
    <w:p w:rsidR="00F2016A" w:rsidRDefault="006E1B60">
      <w:pPr>
        <w:numPr>
          <w:ilvl w:val="0"/>
          <w:numId w:val="25"/>
        </w:numPr>
        <w:spacing w:before="200" w:line="240" w:lineRule="auto"/>
      </w:pPr>
      <w:r>
        <w:rPr>
          <w:rFonts w:ascii="Calibri" w:eastAsia="Calibri" w:hAnsi="Calibri" w:cs="Calibri"/>
        </w:rPr>
        <w:t xml:space="preserve">Stanowisko Polskiego Towarzystwa Medycyny Rozrodu i Embriologii w kwestii wskazań medycznych uzasadniających zapłodnienie więcej niż sześciu komórek jajowych u kobiet przed 35 rokiem życia, </w:t>
      </w:r>
      <w:proofErr w:type="spellStart"/>
      <w:r>
        <w:rPr>
          <w:rFonts w:ascii="Calibri" w:eastAsia="Calibri" w:hAnsi="Calibri" w:cs="Calibri"/>
        </w:rPr>
        <w:t>PTMRiE</w:t>
      </w:r>
      <w:proofErr w:type="spellEnd"/>
      <w:r>
        <w:rPr>
          <w:rFonts w:ascii="Calibri" w:eastAsia="Calibri" w:hAnsi="Calibri" w:cs="Calibri"/>
        </w:rPr>
        <w:t xml:space="preserve"> 2021;</w:t>
      </w:r>
      <w:r>
        <w:br/>
        <w:t xml:space="preserve"> </w:t>
      </w:r>
      <w:r>
        <w:tab/>
      </w:r>
    </w:p>
    <w:p w:rsidR="00F2016A" w:rsidRDefault="00385E0E">
      <w:pPr>
        <w:numPr>
          <w:ilvl w:val="0"/>
          <w:numId w:val="25"/>
        </w:numPr>
        <w:spacing w:line="240" w:lineRule="auto"/>
      </w:pPr>
      <w:hyperlink r:id="rId8">
        <w:r w:rsidR="006E1B60">
          <w:rPr>
            <w:rStyle w:val="ListLabel307"/>
          </w:rPr>
          <w:t>http://www.ptmrie.org.pl/pliki/akty-prawne-i-rekomendacje/rekomentacje/algorytmy-w-nieplodnosci-2011-06-06.pdf</w:t>
        </w:r>
      </w:hyperlink>
      <w:r w:rsidR="006E1B60">
        <w:rPr>
          <w:rFonts w:ascii="Calibri" w:eastAsia="Calibri" w:hAnsi="Calibri" w:cs="Calibri"/>
        </w:rPr>
        <w:t xml:space="preserve"> </w:t>
      </w:r>
      <w:r w:rsidR="006E1B60">
        <w:rPr>
          <w:rFonts w:ascii="Calibri" w:eastAsia="Calibri" w:hAnsi="Calibri" w:cs="Calibri"/>
        </w:rPr>
        <w:tab/>
      </w:r>
      <w:r w:rsidR="006E1B60">
        <w:rPr>
          <w:rFonts w:ascii="Calibri" w:eastAsia="Calibri" w:hAnsi="Calibri" w:cs="Calibri"/>
        </w:rPr>
        <w:tab/>
      </w:r>
      <w:r w:rsidR="006E1B60">
        <w:t xml:space="preserve"> </w:t>
      </w:r>
      <w:r w:rsidR="006E1B60">
        <w:tab/>
      </w:r>
    </w:p>
    <w:p w:rsidR="00F2016A" w:rsidRDefault="00385E0E">
      <w:pPr>
        <w:numPr>
          <w:ilvl w:val="0"/>
          <w:numId w:val="25"/>
        </w:numPr>
        <w:spacing w:line="240" w:lineRule="auto"/>
      </w:pPr>
      <w:hyperlink r:id="rId9">
        <w:r w:rsidR="006E1B60">
          <w:rPr>
            <w:rStyle w:val="ListLabel307"/>
          </w:rPr>
          <w:t>http://ptmrie.org.pl/pliki/akty-prawne-i-</w:t>
        </w:r>
        <w:r w:rsidR="006E1B60">
          <w:rPr>
            <w:rStyle w:val="ListLabel307"/>
          </w:rPr>
          <w:lastRenderedPageBreak/>
          <w:t>rekomendacje/rekomentacje/rekomendacje</w:t>
        </w:r>
      </w:hyperlink>
      <w:hyperlink r:id="rId10">
        <w:r w:rsidR="006E1B60">
          <w:rPr>
            <w:rStyle w:val="ListLabel307"/>
          </w:rPr>
          <w:t>%20SPiN%20i%20PTMR%202012%20rok.PDF</w:t>
        </w:r>
        <w:r w:rsidR="006E1B60">
          <w:rPr>
            <w:rStyle w:val="ListLabel307"/>
          </w:rPr>
          <w:br/>
        </w:r>
      </w:hyperlink>
      <w:r w:rsidR="006E1B60">
        <w:t xml:space="preserve"> </w:t>
      </w:r>
      <w:r w:rsidR="006E1B60">
        <w:tab/>
      </w:r>
    </w:p>
    <w:p w:rsidR="00F2016A" w:rsidRDefault="00385E0E">
      <w:pPr>
        <w:numPr>
          <w:ilvl w:val="0"/>
          <w:numId w:val="25"/>
        </w:numPr>
        <w:spacing w:line="240" w:lineRule="auto"/>
      </w:pPr>
      <w:hyperlink r:id="rId11">
        <w:r w:rsidR="006E1B60">
          <w:rPr>
            <w:rStyle w:val="ListLabel307"/>
          </w:rPr>
          <w:t>http://www.ptmrie.org.pl/pliki/akty-prawne-i-rekomendacje/stanowiska/zalecane-postepowanie-terapeutyczne-w-rozrodzie-wspomaganym.pdf</w:t>
        </w:r>
        <w:r w:rsidR="006E1B60">
          <w:rPr>
            <w:rStyle w:val="ListLabel307"/>
          </w:rPr>
          <w:br/>
        </w:r>
      </w:hyperlink>
      <w:r w:rsidR="006E1B60">
        <w:t xml:space="preserve"> </w:t>
      </w:r>
      <w:r w:rsidR="006E1B60">
        <w:tab/>
      </w:r>
    </w:p>
    <w:p w:rsidR="00F2016A" w:rsidRDefault="00385E0E">
      <w:pPr>
        <w:numPr>
          <w:ilvl w:val="0"/>
          <w:numId w:val="25"/>
        </w:numPr>
        <w:spacing w:line="240" w:lineRule="auto"/>
      </w:pPr>
      <w:hyperlink r:id="rId12">
        <w:r w:rsidR="006E1B60">
          <w:rPr>
            <w:rStyle w:val="czeinternetowe"/>
            <w:rFonts w:ascii="Calibri" w:eastAsia="Calibri" w:hAnsi="Calibri" w:cs="Calibri"/>
          </w:rPr>
          <w:t>http://www.ptmrie.org.pl/sekcje-ptmrie/sekcja-embriologow/artykuly-naukowe-czlonkow-ptmrie-publikacje-ze-swiata/prezentacja-wyniki-leczenia-nieplodnosci-raport-eim-za-2014-rok</w:t>
        </w:r>
      </w:hyperlink>
    </w:p>
    <w:p w:rsidR="00F2016A" w:rsidRDefault="00F2016A">
      <w:pPr>
        <w:spacing w:line="240" w:lineRule="auto"/>
        <w:ind w:left="1080"/>
        <w:rPr>
          <w:rFonts w:ascii="Calibri" w:eastAsia="Calibri" w:hAnsi="Calibri" w:cs="Calibri"/>
          <w:u w:val="single"/>
        </w:rPr>
      </w:pPr>
    </w:p>
    <w:p w:rsidR="00F2016A" w:rsidRDefault="006E1B60">
      <w:pPr>
        <w:numPr>
          <w:ilvl w:val="0"/>
          <w:numId w:val="25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https://bip.umtychy.pl/</w:t>
      </w:r>
    </w:p>
    <w:p w:rsidR="00F2016A" w:rsidRDefault="00385E0E">
      <w:pPr>
        <w:spacing w:before="240" w:after="240" w:line="240" w:lineRule="auto"/>
      </w:pPr>
      <w:hyperlink r:id="rId13">
        <w:r w:rsidR="006E1B60">
          <w:rPr>
            <w:rStyle w:val="ListLabel307"/>
          </w:rPr>
          <w:br/>
        </w:r>
      </w:hyperlink>
      <w:bookmarkStart w:id="0" w:name="_GoBack"/>
      <w:bookmarkEnd w:id="0"/>
    </w:p>
    <w:sectPr w:rsidR="00F2016A" w:rsidSect="00385E0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57" w:rsidRDefault="006B2557">
      <w:pPr>
        <w:spacing w:line="240" w:lineRule="auto"/>
      </w:pPr>
      <w:r>
        <w:separator/>
      </w:r>
    </w:p>
  </w:endnote>
  <w:endnote w:type="continuationSeparator" w:id="0">
    <w:p w:rsidR="006B2557" w:rsidRDefault="006B2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57" w:rsidRDefault="006B2557">
    <w:pPr>
      <w:jc w:val="right"/>
    </w:pPr>
    <w:fldSimple w:instr="PAGE">
      <w:r w:rsidR="009A20E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57" w:rsidRDefault="006B25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57" w:rsidRDefault="006B2557">
      <w:pPr>
        <w:spacing w:line="240" w:lineRule="auto"/>
      </w:pPr>
      <w:r>
        <w:separator/>
      </w:r>
    </w:p>
  </w:footnote>
  <w:footnote w:type="continuationSeparator" w:id="0">
    <w:p w:rsidR="006B2557" w:rsidRDefault="006B25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57" w:rsidRDefault="006B2557">
    <w:pPr>
      <w:spacing w:before="240" w:line="240" w:lineRule="auto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Wsparcie leczenia niepłodności metodą zapłodnienia pozaustrojowego -  In vitro - dla mieszkańców miasta Tychy na lata 2022-2025</w:t>
    </w:r>
  </w:p>
  <w:p w:rsidR="006B2557" w:rsidRDefault="006B25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57" w:rsidRDefault="006B25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E5"/>
    <w:multiLevelType w:val="multilevel"/>
    <w:tmpl w:val="85C075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36B19"/>
    <w:multiLevelType w:val="multilevel"/>
    <w:tmpl w:val="CE2E59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0A3A7DAD"/>
    <w:multiLevelType w:val="multilevel"/>
    <w:tmpl w:val="50AAEC6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>
    <w:nsid w:val="0AD95737"/>
    <w:multiLevelType w:val="multilevel"/>
    <w:tmpl w:val="55785E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0E06417C"/>
    <w:multiLevelType w:val="multilevel"/>
    <w:tmpl w:val="020037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0E521FA7"/>
    <w:multiLevelType w:val="multilevel"/>
    <w:tmpl w:val="2548A28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134148A1"/>
    <w:multiLevelType w:val="multilevel"/>
    <w:tmpl w:val="1F20690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nsid w:val="13944056"/>
    <w:multiLevelType w:val="multilevel"/>
    <w:tmpl w:val="C94E60A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nsid w:val="16E91565"/>
    <w:multiLevelType w:val="multilevel"/>
    <w:tmpl w:val="08CCFCA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2972345D"/>
    <w:multiLevelType w:val="multilevel"/>
    <w:tmpl w:val="262E0DEE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0">
    <w:nsid w:val="34763F18"/>
    <w:multiLevelType w:val="multilevel"/>
    <w:tmpl w:val="638A23D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nsid w:val="376C62EB"/>
    <w:multiLevelType w:val="multilevel"/>
    <w:tmpl w:val="2A3C93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nsid w:val="39AA67FD"/>
    <w:multiLevelType w:val="multilevel"/>
    <w:tmpl w:val="537C50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nsid w:val="39BD4C0C"/>
    <w:multiLevelType w:val="multilevel"/>
    <w:tmpl w:val="7D2EC47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nsid w:val="3A4F2CF4"/>
    <w:multiLevelType w:val="multilevel"/>
    <w:tmpl w:val="9A5C64C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nsid w:val="3A8966F8"/>
    <w:multiLevelType w:val="multilevel"/>
    <w:tmpl w:val="0704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66148BE"/>
    <w:multiLevelType w:val="multilevel"/>
    <w:tmpl w:val="A71EA77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nsid w:val="4C202C5E"/>
    <w:multiLevelType w:val="multilevel"/>
    <w:tmpl w:val="B86C863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>
    <w:nsid w:val="4D686403"/>
    <w:multiLevelType w:val="multilevel"/>
    <w:tmpl w:val="28768A8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nsid w:val="4F496B80"/>
    <w:multiLevelType w:val="multilevel"/>
    <w:tmpl w:val="AF56E39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nsid w:val="52A83744"/>
    <w:multiLevelType w:val="multilevel"/>
    <w:tmpl w:val="F9ACD5B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>
    <w:nsid w:val="567749AA"/>
    <w:multiLevelType w:val="multilevel"/>
    <w:tmpl w:val="AC6E9AD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>
    <w:nsid w:val="5A412C6A"/>
    <w:multiLevelType w:val="multilevel"/>
    <w:tmpl w:val="4B68335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>
    <w:nsid w:val="62B210F8"/>
    <w:multiLevelType w:val="multilevel"/>
    <w:tmpl w:val="3DEAC11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>
    <w:nsid w:val="654C68F6"/>
    <w:multiLevelType w:val="multilevel"/>
    <w:tmpl w:val="EF9CD2E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5">
    <w:nsid w:val="6558248A"/>
    <w:multiLevelType w:val="multilevel"/>
    <w:tmpl w:val="F5B818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>
    <w:nsid w:val="6EDB0E60"/>
    <w:multiLevelType w:val="multilevel"/>
    <w:tmpl w:val="34F87EF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>
    <w:nsid w:val="6FAF60E3"/>
    <w:multiLevelType w:val="multilevel"/>
    <w:tmpl w:val="8536CD0E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>
    <w:nsid w:val="6FC6590D"/>
    <w:multiLevelType w:val="multilevel"/>
    <w:tmpl w:val="01F6A6D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>
    <w:nsid w:val="70884F3D"/>
    <w:multiLevelType w:val="multilevel"/>
    <w:tmpl w:val="44CE06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>
    <w:nsid w:val="71CC7B53"/>
    <w:multiLevelType w:val="multilevel"/>
    <w:tmpl w:val="C218871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>
    <w:nsid w:val="754F27FF"/>
    <w:multiLevelType w:val="multilevel"/>
    <w:tmpl w:val="51B4B6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7A53170B"/>
    <w:multiLevelType w:val="multilevel"/>
    <w:tmpl w:val="56649FE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3">
    <w:nsid w:val="7CB87160"/>
    <w:multiLevelType w:val="multilevel"/>
    <w:tmpl w:val="965CF35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4">
    <w:nsid w:val="7D0921DC"/>
    <w:multiLevelType w:val="multilevel"/>
    <w:tmpl w:val="5F10758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3"/>
  </w:num>
  <w:num w:numId="5">
    <w:abstractNumId w:val="4"/>
  </w:num>
  <w:num w:numId="6">
    <w:abstractNumId w:val="8"/>
  </w:num>
  <w:num w:numId="7">
    <w:abstractNumId w:val="22"/>
  </w:num>
  <w:num w:numId="8">
    <w:abstractNumId w:val="11"/>
  </w:num>
  <w:num w:numId="9">
    <w:abstractNumId w:val="32"/>
  </w:num>
  <w:num w:numId="10">
    <w:abstractNumId w:val="2"/>
  </w:num>
  <w:num w:numId="11">
    <w:abstractNumId w:val="3"/>
  </w:num>
  <w:num w:numId="12">
    <w:abstractNumId w:val="30"/>
  </w:num>
  <w:num w:numId="13">
    <w:abstractNumId w:val="21"/>
  </w:num>
  <w:num w:numId="14">
    <w:abstractNumId w:val="12"/>
  </w:num>
  <w:num w:numId="15">
    <w:abstractNumId w:val="10"/>
  </w:num>
  <w:num w:numId="16">
    <w:abstractNumId w:val="34"/>
  </w:num>
  <w:num w:numId="17">
    <w:abstractNumId w:val="9"/>
  </w:num>
  <w:num w:numId="18">
    <w:abstractNumId w:val="19"/>
  </w:num>
  <w:num w:numId="19">
    <w:abstractNumId w:val="18"/>
  </w:num>
  <w:num w:numId="20">
    <w:abstractNumId w:val="26"/>
  </w:num>
  <w:num w:numId="21">
    <w:abstractNumId w:val="13"/>
  </w:num>
  <w:num w:numId="22">
    <w:abstractNumId w:val="20"/>
  </w:num>
  <w:num w:numId="23">
    <w:abstractNumId w:val="6"/>
  </w:num>
  <w:num w:numId="24">
    <w:abstractNumId w:val="25"/>
  </w:num>
  <w:num w:numId="25">
    <w:abstractNumId w:val="27"/>
  </w:num>
  <w:num w:numId="26">
    <w:abstractNumId w:val="5"/>
  </w:num>
  <w:num w:numId="27">
    <w:abstractNumId w:val="14"/>
  </w:num>
  <w:num w:numId="28">
    <w:abstractNumId w:val="7"/>
  </w:num>
  <w:num w:numId="29">
    <w:abstractNumId w:val="28"/>
  </w:num>
  <w:num w:numId="30">
    <w:abstractNumId w:val="31"/>
  </w:num>
  <w:num w:numId="31">
    <w:abstractNumId w:val="29"/>
  </w:num>
  <w:num w:numId="32">
    <w:abstractNumId w:val="24"/>
  </w:num>
  <w:num w:numId="33">
    <w:abstractNumId w:val="33"/>
  </w:num>
  <w:num w:numId="34">
    <w:abstractNumId w:val="17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6A"/>
    <w:rsid w:val="00075894"/>
    <w:rsid w:val="00385E0E"/>
    <w:rsid w:val="006B2557"/>
    <w:rsid w:val="006E1B60"/>
    <w:rsid w:val="009A20EA"/>
    <w:rsid w:val="00F2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0E"/>
    <w:pPr>
      <w:widowControl w:val="0"/>
      <w:spacing w:line="276" w:lineRule="auto"/>
    </w:pPr>
  </w:style>
  <w:style w:type="paragraph" w:styleId="Nagwek1">
    <w:name w:val="heading 1"/>
    <w:basedOn w:val="LO-normal"/>
    <w:next w:val="Normalny"/>
    <w:qFormat/>
    <w:rsid w:val="00385E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Normalny"/>
    <w:qFormat/>
    <w:rsid w:val="00385E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qFormat/>
    <w:rsid w:val="00385E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qFormat/>
    <w:rsid w:val="00385E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qFormat/>
    <w:rsid w:val="00385E0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Normalny"/>
    <w:qFormat/>
    <w:rsid w:val="00385E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85E0E"/>
    <w:rPr>
      <w:rFonts w:ascii="Calibri" w:hAnsi="Calibri"/>
      <w:u w:val="none"/>
    </w:rPr>
  </w:style>
  <w:style w:type="character" w:customStyle="1" w:styleId="ListLabel2">
    <w:name w:val="ListLabel 2"/>
    <w:qFormat/>
    <w:rsid w:val="00385E0E"/>
    <w:rPr>
      <w:u w:val="none"/>
    </w:rPr>
  </w:style>
  <w:style w:type="character" w:customStyle="1" w:styleId="ListLabel3">
    <w:name w:val="ListLabel 3"/>
    <w:qFormat/>
    <w:rsid w:val="00385E0E"/>
    <w:rPr>
      <w:u w:val="none"/>
    </w:rPr>
  </w:style>
  <w:style w:type="character" w:customStyle="1" w:styleId="ListLabel4">
    <w:name w:val="ListLabel 4"/>
    <w:qFormat/>
    <w:rsid w:val="00385E0E"/>
    <w:rPr>
      <w:u w:val="none"/>
    </w:rPr>
  </w:style>
  <w:style w:type="character" w:customStyle="1" w:styleId="ListLabel5">
    <w:name w:val="ListLabel 5"/>
    <w:qFormat/>
    <w:rsid w:val="00385E0E"/>
    <w:rPr>
      <w:u w:val="none"/>
    </w:rPr>
  </w:style>
  <w:style w:type="character" w:customStyle="1" w:styleId="ListLabel6">
    <w:name w:val="ListLabel 6"/>
    <w:qFormat/>
    <w:rsid w:val="00385E0E"/>
    <w:rPr>
      <w:u w:val="none"/>
    </w:rPr>
  </w:style>
  <w:style w:type="character" w:customStyle="1" w:styleId="ListLabel7">
    <w:name w:val="ListLabel 7"/>
    <w:qFormat/>
    <w:rsid w:val="00385E0E"/>
    <w:rPr>
      <w:u w:val="none"/>
    </w:rPr>
  </w:style>
  <w:style w:type="character" w:customStyle="1" w:styleId="ListLabel8">
    <w:name w:val="ListLabel 8"/>
    <w:qFormat/>
    <w:rsid w:val="00385E0E"/>
    <w:rPr>
      <w:u w:val="none"/>
    </w:rPr>
  </w:style>
  <w:style w:type="character" w:customStyle="1" w:styleId="ListLabel9">
    <w:name w:val="ListLabel 9"/>
    <w:qFormat/>
    <w:rsid w:val="00385E0E"/>
    <w:rPr>
      <w:u w:val="none"/>
    </w:rPr>
  </w:style>
  <w:style w:type="character" w:customStyle="1" w:styleId="ListLabel10">
    <w:name w:val="ListLabel 10"/>
    <w:qFormat/>
    <w:rsid w:val="00385E0E"/>
    <w:rPr>
      <w:rFonts w:ascii="Calibri" w:hAnsi="Calibri"/>
      <w:u w:val="none"/>
    </w:rPr>
  </w:style>
  <w:style w:type="character" w:customStyle="1" w:styleId="ListLabel11">
    <w:name w:val="ListLabel 11"/>
    <w:qFormat/>
    <w:rsid w:val="00385E0E"/>
    <w:rPr>
      <w:u w:val="none"/>
    </w:rPr>
  </w:style>
  <w:style w:type="character" w:customStyle="1" w:styleId="ListLabel12">
    <w:name w:val="ListLabel 12"/>
    <w:qFormat/>
    <w:rsid w:val="00385E0E"/>
    <w:rPr>
      <w:u w:val="none"/>
    </w:rPr>
  </w:style>
  <w:style w:type="character" w:customStyle="1" w:styleId="ListLabel13">
    <w:name w:val="ListLabel 13"/>
    <w:qFormat/>
    <w:rsid w:val="00385E0E"/>
    <w:rPr>
      <w:u w:val="none"/>
    </w:rPr>
  </w:style>
  <w:style w:type="character" w:customStyle="1" w:styleId="ListLabel14">
    <w:name w:val="ListLabel 14"/>
    <w:qFormat/>
    <w:rsid w:val="00385E0E"/>
    <w:rPr>
      <w:u w:val="none"/>
    </w:rPr>
  </w:style>
  <w:style w:type="character" w:customStyle="1" w:styleId="ListLabel15">
    <w:name w:val="ListLabel 15"/>
    <w:qFormat/>
    <w:rsid w:val="00385E0E"/>
    <w:rPr>
      <w:u w:val="none"/>
    </w:rPr>
  </w:style>
  <w:style w:type="character" w:customStyle="1" w:styleId="ListLabel16">
    <w:name w:val="ListLabel 16"/>
    <w:qFormat/>
    <w:rsid w:val="00385E0E"/>
    <w:rPr>
      <w:u w:val="none"/>
    </w:rPr>
  </w:style>
  <w:style w:type="character" w:customStyle="1" w:styleId="ListLabel17">
    <w:name w:val="ListLabel 17"/>
    <w:qFormat/>
    <w:rsid w:val="00385E0E"/>
    <w:rPr>
      <w:u w:val="none"/>
    </w:rPr>
  </w:style>
  <w:style w:type="character" w:customStyle="1" w:styleId="ListLabel18">
    <w:name w:val="ListLabel 18"/>
    <w:qFormat/>
    <w:rsid w:val="00385E0E"/>
    <w:rPr>
      <w:u w:val="none"/>
    </w:rPr>
  </w:style>
  <w:style w:type="character" w:customStyle="1" w:styleId="ListLabel19">
    <w:name w:val="ListLabel 19"/>
    <w:qFormat/>
    <w:rsid w:val="00385E0E"/>
    <w:rPr>
      <w:rFonts w:ascii="Calibri" w:hAnsi="Calibri"/>
      <w:u w:val="none"/>
    </w:rPr>
  </w:style>
  <w:style w:type="character" w:customStyle="1" w:styleId="ListLabel20">
    <w:name w:val="ListLabel 20"/>
    <w:qFormat/>
    <w:rsid w:val="00385E0E"/>
    <w:rPr>
      <w:u w:val="none"/>
    </w:rPr>
  </w:style>
  <w:style w:type="character" w:customStyle="1" w:styleId="ListLabel21">
    <w:name w:val="ListLabel 21"/>
    <w:qFormat/>
    <w:rsid w:val="00385E0E"/>
    <w:rPr>
      <w:u w:val="none"/>
    </w:rPr>
  </w:style>
  <w:style w:type="character" w:customStyle="1" w:styleId="ListLabel22">
    <w:name w:val="ListLabel 22"/>
    <w:qFormat/>
    <w:rsid w:val="00385E0E"/>
    <w:rPr>
      <w:u w:val="none"/>
    </w:rPr>
  </w:style>
  <w:style w:type="character" w:customStyle="1" w:styleId="ListLabel23">
    <w:name w:val="ListLabel 23"/>
    <w:qFormat/>
    <w:rsid w:val="00385E0E"/>
    <w:rPr>
      <w:u w:val="none"/>
    </w:rPr>
  </w:style>
  <w:style w:type="character" w:customStyle="1" w:styleId="ListLabel24">
    <w:name w:val="ListLabel 24"/>
    <w:qFormat/>
    <w:rsid w:val="00385E0E"/>
    <w:rPr>
      <w:u w:val="none"/>
    </w:rPr>
  </w:style>
  <w:style w:type="character" w:customStyle="1" w:styleId="ListLabel25">
    <w:name w:val="ListLabel 25"/>
    <w:qFormat/>
    <w:rsid w:val="00385E0E"/>
    <w:rPr>
      <w:u w:val="none"/>
    </w:rPr>
  </w:style>
  <w:style w:type="character" w:customStyle="1" w:styleId="ListLabel26">
    <w:name w:val="ListLabel 26"/>
    <w:qFormat/>
    <w:rsid w:val="00385E0E"/>
    <w:rPr>
      <w:u w:val="none"/>
    </w:rPr>
  </w:style>
  <w:style w:type="character" w:customStyle="1" w:styleId="ListLabel27">
    <w:name w:val="ListLabel 27"/>
    <w:qFormat/>
    <w:rsid w:val="00385E0E"/>
    <w:rPr>
      <w:u w:val="none"/>
    </w:rPr>
  </w:style>
  <w:style w:type="character" w:customStyle="1" w:styleId="ListLabel28">
    <w:name w:val="ListLabel 28"/>
    <w:qFormat/>
    <w:rsid w:val="00385E0E"/>
    <w:rPr>
      <w:u w:val="none"/>
    </w:rPr>
  </w:style>
  <w:style w:type="character" w:customStyle="1" w:styleId="ListLabel29">
    <w:name w:val="ListLabel 29"/>
    <w:qFormat/>
    <w:rsid w:val="00385E0E"/>
    <w:rPr>
      <w:u w:val="none"/>
    </w:rPr>
  </w:style>
  <w:style w:type="character" w:customStyle="1" w:styleId="ListLabel30">
    <w:name w:val="ListLabel 30"/>
    <w:qFormat/>
    <w:rsid w:val="00385E0E"/>
    <w:rPr>
      <w:u w:val="none"/>
    </w:rPr>
  </w:style>
  <w:style w:type="character" w:customStyle="1" w:styleId="ListLabel31">
    <w:name w:val="ListLabel 31"/>
    <w:qFormat/>
    <w:rsid w:val="00385E0E"/>
    <w:rPr>
      <w:u w:val="none"/>
    </w:rPr>
  </w:style>
  <w:style w:type="character" w:customStyle="1" w:styleId="ListLabel32">
    <w:name w:val="ListLabel 32"/>
    <w:qFormat/>
    <w:rsid w:val="00385E0E"/>
    <w:rPr>
      <w:u w:val="none"/>
    </w:rPr>
  </w:style>
  <w:style w:type="character" w:customStyle="1" w:styleId="ListLabel33">
    <w:name w:val="ListLabel 33"/>
    <w:qFormat/>
    <w:rsid w:val="00385E0E"/>
    <w:rPr>
      <w:u w:val="none"/>
    </w:rPr>
  </w:style>
  <w:style w:type="character" w:customStyle="1" w:styleId="ListLabel34">
    <w:name w:val="ListLabel 34"/>
    <w:qFormat/>
    <w:rsid w:val="00385E0E"/>
    <w:rPr>
      <w:u w:val="none"/>
    </w:rPr>
  </w:style>
  <w:style w:type="character" w:customStyle="1" w:styleId="ListLabel35">
    <w:name w:val="ListLabel 35"/>
    <w:qFormat/>
    <w:rsid w:val="00385E0E"/>
    <w:rPr>
      <w:u w:val="none"/>
    </w:rPr>
  </w:style>
  <w:style w:type="character" w:customStyle="1" w:styleId="ListLabel36">
    <w:name w:val="ListLabel 36"/>
    <w:qFormat/>
    <w:rsid w:val="00385E0E"/>
    <w:rPr>
      <w:u w:val="none"/>
    </w:rPr>
  </w:style>
  <w:style w:type="character" w:customStyle="1" w:styleId="ListLabel37">
    <w:name w:val="ListLabel 37"/>
    <w:qFormat/>
    <w:rsid w:val="00385E0E"/>
    <w:rPr>
      <w:u w:val="none"/>
    </w:rPr>
  </w:style>
  <w:style w:type="character" w:customStyle="1" w:styleId="ListLabel38">
    <w:name w:val="ListLabel 38"/>
    <w:qFormat/>
    <w:rsid w:val="00385E0E"/>
    <w:rPr>
      <w:u w:val="none"/>
    </w:rPr>
  </w:style>
  <w:style w:type="character" w:customStyle="1" w:styleId="ListLabel39">
    <w:name w:val="ListLabel 39"/>
    <w:qFormat/>
    <w:rsid w:val="00385E0E"/>
    <w:rPr>
      <w:u w:val="none"/>
    </w:rPr>
  </w:style>
  <w:style w:type="character" w:customStyle="1" w:styleId="ListLabel40">
    <w:name w:val="ListLabel 40"/>
    <w:qFormat/>
    <w:rsid w:val="00385E0E"/>
    <w:rPr>
      <w:u w:val="none"/>
    </w:rPr>
  </w:style>
  <w:style w:type="character" w:customStyle="1" w:styleId="ListLabel41">
    <w:name w:val="ListLabel 41"/>
    <w:qFormat/>
    <w:rsid w:val="00385E0E"/>
    <w:rPr>
      <w:u w:val="none"/>
    </w:rPr>
  </w:style>
  <w:style w:type="character" w:customStyle="1" w:styleId="ListLabel42">
    <w:name w:val="ListLabel 42"/>
    <w:qFormat/>
    <w:rsid w:val="00385E0E"/>
    <w:rPr>
      <w:u w:val="none"/>
    </w:rPr>
  </w:style>
  <w:style w:type="character" w:customStyle="1" w:styleId="ListLabel43">
    <w:name w:val="ListLabel 43"/>
    <w:qFormat/>
    <w:rsid w:val="00385E0E"/>
    <w:rPr>
      <w:u w:val="none"/>
    </w:rPr>
  </w:style>
  <w:style w:type="character" w:customStyle="1" w:styleId="ListLabel44">
    <w:name w:val="ListLabel 44"/>
    <w:qFormat/>
    <w:rsid w:val="00385E0E"/>
    <w:rPr>
      <w:u w:val="none"/>
    </w:rPr>
  </w:style>
  <w:style w:type="character" w:customStyle="1" w:styleId="ListLabel45">
    <w:name w:val="ListLabel 45"/>
    <w:qFormat/>
    <w:rsid w:val="00385E0E"/>
    <w:rPr>
      <w:u w:val="none"/>
    </w:rPr>
  </w:style>
  <w:style w:type="character" w:customStyle="1" w:styleId="ListLabel46">
    <w:name w:val="ListLabel 46"/>
    <w:qFormat/>
    <w:rsid w:val="00385E0E"/>
    <w:rPr>
      <w:u w:val="none"/>
    </w:rPr>
  </w:style>
  <w:style w:type="character" w:customStyle="1" w:styleId="ListLabel47">
    <w:name w:val="ListLabel 47"/>
    <w:qFormat/>
    <w:rsid w:val="00385E0E"/>
    <w:rPr>
      <w:u w:val="none"/>
    </w:rPr>
  </w:style>
  <w:style w:type="character" w:customStyle="1" w:styleId="ListLabel48">
    <w:name w:val="ListLabel 48"/>
    <w:qFormat/>
    <w:rsid w:val="00385E0E"/>
    <w:rPr>
      <w:u w:val="none"/>
    </w:rPr>
  </w:style>
  <w:style w:type="character" w:customStyle="1" w:styleId="ListLabel49">
    <w:name w:val="ListLabel 49"/>
    <w:qFormat/>
    <w:rsid w:val="00385E0E"/>
    <w:rPr>
      <w:u w:val="none"/>
    </w:rPr>
  </w:style>
  <w:style w:type="character" w:customStyle="1" w:styleId="ListLabel50">
    <w:name w:val="ListLabel 50"/>
    <w:qFormat/>
    <w:rsid w:val="00385E0E"/>
    <w:rPr>
      <w:u w:val="none"/>
    </w:rPr>
  </w:style>
  <w:style w:type="character" w:customStyle="1" w:styleId="ListLabel51">
    <w:name w:val="ListLabel 51"/>
    <w:qFormat/>
    <w:rsid w:val="00385E0E"/>
    <w:rPr>
      <w:u w:val="none"/>
    </w:rPr>
  </w:style>
  <w:style w:type="character" w:customStyle="1" w:styleId="ListLabel52">
    <w:name w:val="ListLabel 52"/>
    <w:qFormat/>
    <w:rsid w:val="00385E0E"/>
    <w:rPr>
      <w:u w:val="none"/>
    </w:rPr>
  </w:style>
  <w:style w:type="character" w:customStyle="1" w:styleId="ListLabel53">
    <w:name w:val="ListLabel 53"/>
    <w:qFormat/>
    <w:rsid w:val="00385E0E"/>
    <w:rPr>
      <w:u w:val="none"/>
    </w:rPr>
  </w:style>
  <w:style w:type="character" w:customStyle="1" w:styleId="ListLabel54">
    <w:name w:val="ListLabel 54"/>
    <w:qFormat/>
    <w:rsid w:val="00385E0E"/>
    <w:rPr>
      <w:u w:val="none"/>
    </w:rPr>
  </w:style>
  <w:style w:type="character" w:customStyle="1" w:styleId="ListLabel55">
    <w:name w:val="ListLabel 55"/>
    <w:qFormat/>
    <w:rsid w:val="00385E0E"/>
    <w:rPr>
      <w:u w:val="none"/>
    </w:rPr>
  </w:style>
  <w:style w:type="character" w:customStyle="1" w:styleId="ListLabel56">
    <w:name w:val="ListLabel 56"/>
    <w:qFormat/>
    <w:rsid w:val="00385E0E"/>
    <w:rPr>
      <w:u w:val="none"/>
    </w:rPr>
  </w:style>
  <w:style w:type="character" w:customStyle="1" w:styleId="ListLabel57">
    <w:name w:val="ListLabel 57"/>
    <w:qFormat/>
    <w:rsid w:val="00385E0E"/>
    <w:rPr>
      <w:u w:val="none"/>
    </w:rPr>
  </w:style>
  <w:style w:type="character" w:customStyle="1" w:styleId="ListLabel58">
    <w:name w:val="ListLabel 58"/>
    <w:qFormat/>
    <w:rsid w:val="00385E0E"/>
    <w:rPr>
      <w:u w:val="none"/>
    </w:rPr>
  </w:style>
  <w:style w:type="character" w:customStyle="1" w:styleId="ListLabel59">
    <w:name w:val="ListLabel 59"/>
    <w:qFormat/>
    <w:rsid w:val="00385E0E"/>
    <w:rPr>
      <w:u w:val="none"/>
    </w:rPr>
  </w:style>
  <w:style w:type="character" w:customStyle="1" w:styleId="ListLabel60">
    <w:name w:val="ListLabel 60"/>
    <w:qFormat/>
    <w:rsid w:val="00385E0E"/>
    <w:rPr>
      <w:u w:val="none"/>
    </w:rPr>
  </w:style>
  <w:style w:type="character" w:customStyle="1" w:styleId="ListLabel61">
    <w:name w:val="ListLabel 61"/>
    <w:qFormat/>
    <w:rsid w:val="00385E0E"/>
    <w:rPr>
      <w:u w:val="none"/>
    </w:rPr>
  </w:style>
  <w:style w:type="character" w:customStyle="1" w:styleId="ListLabel62">
    <w:name w:val="ListLabel 62"/>
    <w:qFormat/>
    <w:rsid w:val="00385E0E"/>
    <w:rPr>
      <w:u w:val="none"/>
    </w:rPr>
  </w:style>
  <w:style w:type="character" w:customStyle="1" w:styleId="ListLabel63">
    <w:name w:val="ListLabel 63"/>
    <w:qFormat/>
    <w:rsid w:val="00385E0E"/>
    <w:rPr>
      <w:u w:val="none"/>
    </w:rPr>
  </w:style>
  <w:style w:type="character" w:customStyle="1" w:styleId="ListLabel64">
    <w:name w:val="ListLabel 64"/>
    <w:qFormat/>
    <w:rsid w:val="00385E0E"/>
    <w:rPr>
      <w:rFonts w:ascii="Calibri" w:hAnsi="Calibri"/>
      <w:u w:val="none"/>
    </w:rPr>
  </w:style>
  <w:style w:type="character" w:customStyle="1" w:styleId="ListLabel65">
    <w:name w:val="ListLabel 65"/>
    <w:qFormat/>
    <w:rsid w:val="00385E0E"/>
    <w:rPr>
      <w:u w:val="none"/>
    </w:rPr>
  </w:style>
  <w:style w:type="character" w:customStyle="1" w:styleId="ListLabel66">
    <w:name w:val="ListLabel 66"/>
    <w:qFormat/>
    <w:rsid w:val="00385E0E"/>
    <w:rPr>
      <w:u w:val="none"/>
    </w:rPr>
  </w:style>
  <w:style w:type="character" w:customStyle="1" w:styleId="ListLabel67">
    <w:name w:val="ListLabel 67"/>
    <w:qFormat/>
    <w:rsid w:val="00385E0E"/>
    <w:rPr>
      <w:u w:val="none"/>
    </w:rPr>
  </w:style>
  <w:style w:type="character" w:customStyle="1" w:styleId="ListLabel68">
    <w:name w:val="ListLabel 68"/>
    <w:qFormat/>
    <w:rsid w:val="00385E0E"/>
    <w:rPr>
      <w:u w:val="none"/>
    </w:rPr>
  </w:style>
  <w:style w:type="character" w:customStyle="1" w:styleId="ListLabel69">
    <w:name w:val="ListLabel 69"/>
    <w:qFormat/>
    <w:rsid w:val="00385E0E"/>
    <w:rPr>
      <w:u w:val="none"/>
    </w:rPr>
  </w:style>
  <w:style w:type="character" w:customStyle="1" w:styleId="ListLabel70">
    <w:name w:val="ListLabel 70"/>
    <w:qFormat/>
    <w:rsid w:val="00385E0E"/>
    <w:rPr>
      <w:u w:val="none"/>
    </w:rPr>
  </w:style>
  <w:style w:type="character" w:customStyle="1" w:styleId="ListLabel71">
    <w:name w:val="ListLabel 71"/>
    <w:qFormat/>
    <w:rsid w:val="00385E0E"/>
    <w:rPr>
      <w:u w:val="none"/>
    </w:rPr>
  </w:style>
  <w:style w:type="character" w:customStyle="1" w:styleId="ListLabel72">
    <w:name w:val="ListLabel 72"/>
    <w:qFormat/>
    <w:rsid w:val="00385E0E"/>
    <w:rPr>
      <w:u w:val="none"/>
    </w:rPr>
  </w:style>
  <w:style w:type="character" w:customStyle="1" w:styleId="ListLabel73">
    <w:name w:val="ListLabel 73"/>
    <w:qFormat/>
    <w:rsid w:val="00385E0E"/>
    <w:rPr>
      <w:rFonts w:ascii="Calibri" w:hAnsi="Calibri"/>
      <w:u w:val="none"/>
    </w:rPr>
  </w:style>
  <w:style w:type="character" w:customStyle="1" w:styleId="ListLabel74">
    <w:name w:val="ListLabel 74"/>
    <w:qFormat/>
    <w:rsid w:val="00385E0E"/>
    <w:rPr>
      <w:u w:val="none"/>
    </w:rPr>
  </w:style>
  <w:style w:type="character" w:customStyle="1" w:styleId="ListLabel75">
    <w:name w:val="ListLabel 75"/>
    <w:qFormat/>
    <w:rsid w:val="00385E0E"/>
    <w:rPr>
      <w:u w:val="none"/>
    </w:rPr>
  </w:style>
  <w:style w:type="character" w:customStyle="1" w:styleId="ListLabel76">
    <w:name w:val="ListLabel 76"/>
    <w:qFormat/>
    <w:rsid w:val="00385E0E"/>
    <w:rPr>
      <w:u w:val="none"/>
    </w:rPr>
  </w:style>
  <w:style w:type="character" w:customStyle="1" w:styleId="ListLabel77">
    <w:name w:val="ListLabel 77"/>
    <w:qFormat/>
    <w:rsid w:val="00385E0E"/>
    <w:rPr>
      <w:u w:val="none"/>
    </w:rPr>
  </w:style>
  <w:style w:type="character" w:customStyle="1" w:styleId="ListLabel78">
    <w:name w:val="ListLabel 78"/>
    <w:qFormat/>
    <w:rsid w:val="00385E0E"/>
    <w:rPr>
      <w:u w:val="none"/>
    </w:rPr>
  </w:style>
  <w:style w:type="character" w:customStyle="1" w:styleId="ListLabel79">
    <w:name w:val="ListLabel 79"/>
    <w:qFormat/>
    <w:rsid w:val="00385E0E"/>
    <w:rPr>
      <w:u w:val="none"/>
    </w:rPr>
  </w:style>
  <w:style w:type="character" w:customStyle="1" w:styleId="ListLabel80">
    <w:name w:val="ListLabel 80"/>
    <w:qFormat/>
    <w:rsid w:val="00385E0E"/>
    <w:rPr>
      <w:u w:val="none"/>
    </w:rPr>
  </w:style>
  <w:style w:type="character" w:customStyle="1" w:styleId="ListLabel81">
    <w:name w:val="ListLabel 81"/>
    <w:qFormat/>
    <w:rsid w:val="00385E0E"/>
    <w:rPr>
      <w:u w:val="none"/>
    </w:rPr>
  </w:style>
  <w:style w:type="character" w:customStyle="1" w:styleId="ListLabel82">
    <w:name w:val="ListLabel 82"/>
    <w:qFormat/>
    <w:rsid w:val="00385E0E"/>
    <w:rPr>
      <w:rFonts w:ascii="Calibri" w:eastAsia="Calibri" w:hAnsi="Calibri" w:cs="Calibri"/>
      <w:b w:val="0"/>
      <w:u w:val="none"/>
    </w:rPr>
  </w:style>
  <w:style w:type="character" w:customStyle="1" w:styleId="ListLabel83">
    <w:name w:val="ListLabel 83"/>
    <w:qFormat/>
    <w:rsid w:val="00385E0E"/>
    <w:rPr>
      <w:u w:val="none"/>
    </w:rPr>
  </w:style>
  <w:style w:type="character" w:customStyle="1" w:styleId="ListLabel84">
    <w:name w:val="ListLabel 84"/>
    <w:qFormat/>
    <w:rsid w:val="00385E0E"/>
    <w:rPr>
      <w:u w:val="none"/>
    </w:rPr>
  </w:style>
  <w:style w:type="character" w:customStyle="1" w:styleId="ListLabel85">
    <w:name w:val="ListLabel 85"/>
    <w:qFormat/>
    <w:rsid w:val="00385E0E"/>
    <w:rPr>
      <w:u w:val="none"/>
    </w:rPr>
  </w:style>
  <w:style w:type="character" w:customStyle="1" w:styleId="ListLabel86">
    <w:name w:val="ListLabel 86"/>
    <w:qFormat/>
    <w:rsid w:val="00385E0E"/>
    <w:rPr>
      <w:u w:val="none"/>
    </w:rPr>
  </w:style>
  <w:style w:type="character" w:customStyle="1" w:styleId="ListLabel87">
    <w:name w:val="ListLabel 87"/>
    <w:qFormat/>
    <w:rsid w:val="00385E0E"/>
    <w:rPr>
      <w:u w:val="none"/>
    </w:rPr>
  </w:style>
  <w:style w:type="character" w:customStyle="1" w:styleId="ListLabel88">
    <w:name w:val="ListLabel 88"/>
    <w:qFormat/>
    <w:rsid w:val="00385E0E"/>
    <w:rPr>
      <w:u w:val="none"/>
    </w:rPr>
  </w:style>
  <w:style w:type="character" w:customStyle="1" w:styleId="ListLabel89">
    <w:name w:val="ListLabel 89"/>
    <w:qFormat/>
    <w:rsid w:val="00385E0E"/>
    <w:rPr>
      <w:u w:val="none"/>
    </w:rPr>
  </w:style>
  <w:style w:type="character" w:customStyle="1" w:styleId="ListLabel90">
    <w:name w:val="ListLabel 90"/>
    <w:qFormat/>
    <w:rsid w:val="00385E0E"/>
    <w:rPr>
      <w:u w:val="none"/>
    </w:rPr>
  </w:style>
  <w:style w:type="character" w:customStyle="1" w:styleId="ListLabel91">
    <w:name w:val="ListLabel 91"/>
    <w:qFormat/>
    <w:rsid w:val="00385E0E"/>
    <w:rPr>
      <w:u w:val="none"/>
    </w:rPr>
  </w:style>
  <w:style w:type="character" w:customStyle="1" w:styleId="ListLabel92">
    <w:name w:val="ListLabel 92"/>
    <w:qFormat/>
    <w:rsid w:val="00385E0E"/>
    <w:rPr>
      <w:u w:val="none"/>
    </w:rPr>
  </w:style>
  <w:style w:type="character" w:customStyle="1" w:styleId="ListLabel93">
    <w:name w:val="ListLabel 93"/>
    <w:qFormat/>
    <w:rsid w:val="00385E0E"/>
    <w:rPr>
      <w:u w:val="none"/>
    </w:rPr>
  </w:style>
  <w:style w:type="character" w:customStyle="1" w:styleId="ListLabel94">
    <w:name w:val="ListLabel 94"/>
    <w:qFormat/>
    <w:rsid w:val="00385E0E"/>
    <w:rPr>
      <w:u w:val="none"/>
    </w:rPr>
  </w:style>
  <w:style w:type="character" w:customStyle="1" w:styleId="ListLabel95">
    <w:name w:val="ListLabel 95"/>
    <w:qFormat/>
    <w:rsid w:val="00385E0E"/>
    <w:rPr>
      <w:u w:val="none"/>
    </w:rPr>
  </w:style>
  <w:style w:type="character" w:customStyle="1" w:styleId="ListLabel96">
    <w:name w:val="ListLabel 96"/>
    <w:qFormat/>
    <w:rsid w:val="00385E0E"/>
    <w:rPr>
      <w:u w:val="none"/>
    </w:rPr>
  </w:style>
  <w:style w:type="character" w:customStyle="1" w:styleId="ListLabel97">
    <w:name w:val="ListLabel 97"/>
    <w:qFormat/>
    <w:rsid w:val="00385E0E"/>
    <w:rPr>
      <w:u w:val="none"/>
    </w:rPr>
  </w:style>
  <w:style w:type="character" w:customStyle="1" w:styleId="ListLabel98">
    <w:name w:val="ListLabel 98"/>
    <w:qFormat/>
    <w:rsid w:val="00385E0E"/>
    <w:rPr>
      <w:u w:val="none"/>
    </w:rPr>
  </w:style>
  <w:style w:type="character" w:customStyle="1" w:styleId="ListLabel99">
    <w:name w:val="ListLabel 99"/>
    <w:qFormat/>
    <w:rsid w:val="00385E0E"/>
    <w:rPr>
      <w:u w:val="none"/>
    </w:rPr>
  </w:style>
  <w:style w:type="character" w:customStyle="1" w:styleId="ListLabel100">
    <w:name w:val="ListLabel 100"/>
    <w:qFormat/>
    <w:rsid w:val="00385E0E"/>
    <w:rPr>
      <w:u w:val="none"/>
    </w:rPr>
  </w:style>
  <w:style w:type="character" w:customStyle="1" w:styleId="ListLabel101">
    <w:name w:val="ListLabel 101"/>
    <w:qFormat/>
    <w:rsid w:val="00385E0E"/>
    <w:rPr>
      <w:u w:val="none"/>
    </w:rPr>
  </w:style>
  <w:style w:type="character" w:customStyle="1" w:styleId="ListLabel102">
    <w:name w:val="ListLabel 102"/>
    <w:qFormat/>
    <w:rsid w:val="00385E0E"/>
    <w:rPr>
      <w:u w:val="none"/>
    </w:rPr>
  </w:style>
  <w:style w:type="character" w:customStyle="1" w:styleId="ListLabel103">
    <w:name w:val="ListLabel 103"/>
    <w:qFormat/>
    <w:rsid w:val="00385E0E"/>
    <w:rPr>
      <w:u w:val="none"/>
    </w:rPr>
  </w:style>
  <w:style w:type="character" w:customStyle="1" w:styleId="ListLabel104">
    <w:name w:val="ListLabel 104"/>
    <w:qFormat/>
    <w:rsid w:val="00385E0E"/>
    <w:rPr>
      <w:u w:val="none"/>
    </w:rPr>
  </w:style>
  <w:style w:type="character" w:customStyle="1" w:styleId="ListLabel105">
    <w:name w:val="ListLabel 105"/>
    <w:qFormat/>
    <w:rsid w:val="00385E0E"/>
    <w:rPr>
      <w:u w:val="none"/>
    </w:rPr>
  </w:style>
  <w:style w:type="character" w:customStyle="1" w:styleId="ListLabel106">
    <w:name w:val="ListLabel 106"/>
    <w:qFormat/>
    <w:rsid w:val="00385E0E"/>
    <w:rPr>
      <w:u w:val="none"/>
    </w:rPr>
  </w:style>
  <w:style w:type="character" w:customStyle="1" w:styleId="ListLabel107">
    <w:name w:val="ListLabel 107"/>
    <w:qFormat/>
    <w:rsid w:val="00385E0E"/>
    <w:rPr>
      <w:u w:val="none"/>
    </w:rPr>
  </w:style>
  <w:style w:type="character" w:customStyle="1" w:styleId="ListLabel108">
    <w:name w:val="ListLabel 108"/>
    <w:qFormat/>
    <w:rsid w:val="00385E0E"/>
    <w:rPr>
      <w:u w:val="none"/>
    </w:rPr>
  </w:style>
  <w:style w:type="character" w:customStyle="1" w:styleId="ListLabel109">
    <w:name w:val="ListLabel 109"/>
    <w:qFormat/>
    <w:rsid w:val="00385E0E"/>
    <w:rPr>
      <w:u w:val="none"/>
    </w:rPr>
  </w:style>
  <w:style w:type="character" w:customStyle="1" w:styleId="ListLabel110">
    <w:name w:val="ListLabel 110"/>
    <w:qFormat/>
    <w:rsid w:val="00385E0E"/>
    <w:rPr>
      <w:u w:val="none"/>
    </w:rPr>
  </w:style>
  <w:style w:type="character" w:customStyle="1" w:styleId="ListLabel111">
    <w:name w:val="ListLabel 111"/>
    <w:qFormat/>
    <w:rsid w:val="00385E0E"/>
    <w:rPr>
      <w:u w:val="none"/>
    </w:rPr>
  </w:style>
  <w:style w:type="character" w:customStyle="1" w:styleId="ListLabel112">
    <w:name w:val="ListLabel 112"/>
    <w:qFormat/>
    <w:rsid w:val="00385E0E"/>
    <w:rPr>
      <w:u w:val="none"/>
    </w:rPr>
  </w:style>
  <w:style w:type="character" w:customStyle="1" w:styleId="ListLabel113">
    <w:name w:val="ListLabel 113"/>
    <w:qFormat/>
    <w:rsid w:val="00385E0E"/>
    <w:rPr>
      <w:u w:val="none"/>
    </w:rPr>
  </w:style>
  <w:style w:type="character" w:customStyle="1" w:styleId="ListLabel114">
    <w:name w:val="ListLabel 114"/>
    <w:qFormat/>
    <w:rsid w:val="00385E0E"/>
    <w:rPr>
      <w:u w:val="none"/>
    </w:rPr>
  </w:style>
  <w:style w:type="character" w:customStyle="1" w:styleId="ListLabel115">
    <w:name w:val="ListLabel 115"/>
    <w:qFormat/>
    <w:rsid w:val="00385E0E"/>
    <w:rPr>
      <w:u w:val="none"/>
    </w:rPr>
  </w:style>
  <w:style w:type="character" w:customStyle="1" w:styleId="ListLabel116">
    <w:name w:val="ListLabel 116"/>
    <w:qFormat/>
    <w:rsid w:val="00385E0E"/>
    <w:rPr>
      <w:u w:val="none"/>
    </w:rPr>
  </w:style>
  <w:style w:type="character" w:customStyle="1" w:styleId="ListLabel117">
    <w:name w:val="ListLabel 117"/>
    <w:qFormat/>
    <w:rsid w:val="00385E0E"/>
    <w:rPr>
      <w:u w:val="none"/>
    </w:rPr>
  </w:style>
  <w:style w:type="character" w:customStyle="1" w:styleId="ListLabel118">
    <w:name w:val="ListLabel 118"/>
    <w:qFormat/>
    <w:rsid w:val="00385E0E"/>
    <w:rPr>
      <w:rFonts w:ascii="Calibri" w:hAnsi="Calibri"/>
      <w:u w:val="none"/>
    </w:rPr>
  </w:style>
  <w:style w:type="character" w:customStyle="1" w:styleId="ListLabel119">
    <w:name w:val="ListLabel 119"/>
    <w:qFormat/>
    <w:rsid w:val="00385E0E"/>
    <w:rPr>
      <w:u w:val="none"/>
    </w:rPr>
  </w:style>
  <w:style w:type="character" w:customStyle="1" w:styleId="ListLabel120">
    <w:name w:val="ListLabel 120"/>
    <w:qFormat/>
    <w:rsid w:val="00385E0E"/>
    <w:rPr>
      <w:u w:val="none"/>
    </w:rPr>
  </w:style>
  <w:style w:type="character" w:customStyle="1" w:styleId="ListLabel121">
    <w:name w:val="ListLabel 121"/>
    <w:qFormat/>
    <w:rsid w:val="00385E0E"/>
    <w:rPr>
      <w:u w:val="none"/>
    </w:rPr>
  </w:style>
  <w:style w:type="character" w:customStyle="1" w:styleId="ListLabel122">
    <w:name w:val="ListLabel 122"/>
    <w:qFormat/>
    <w:rsid w:val="00385E0E"/>
    <w:rPr>
      <w:u w:val="none"/>
    </w:rPr>
  </w:style>
  <w:style w:type="character" w:customStyle="1" w:styleId="ListLabel123">
    <w:name w:val="ListLabel 123"/>
    <w:qFormat/>
    <w:rsid w:val="00385E0E"/>
    <w:rPr>
      <w:u w:val="none"/>
    </w:rPr>
  </w:style>
  <w:style w:type="character" w:customStyle="1" w:styleId="ListLabel124">
    <w:name w:val="ListLabel 124"/>
    <w:qFormat/>
    <w:rsid w:val="00385E0E"/>
    <w:rPr>
      <w:u w:val="none"/>
    </w:rPr>
  </w:style>
  <w:style w:type="character" w:customStyle="1" w:styleId="ListLabel125">
    <w:name w:val="ListLabel 125"/>
    <w:qFormat/>
    <w:rsid w:val="00385E0E"/>
    <w:rPr>
      <w:u w:val="none"/>
    </w:rPr>
  </w:style>
  <w:style w:type="character" w:customStyle="1" w:styleId="ListLabel126">
    <w:name w:val="ListLabel 126"/>
    <w:qFormat/>
    <w:rsid w:val="00385E0E"/>
    <w:rPr>
      <w:u w:val="none"/>
    </w:rPr>
  </w:style>
  <w:style w:type="character" w:customStyle="1" w:styleId="ListLabel127">
    <w:name w:val="ListLabel 127"/>
    <w:qFormat/>
    <w:rsid w:val="00385E0E"/>
    <w:rPr>
      <w:u w:val="none"/>
    </w:rPr>
  </w:style>
  <w:style w:type="character" w:customStyle="1" w:styleId="ListLabel128">
    <w:name w:val="ListLabel 128"/>
    <w:qFormat/>
    <w:rsid w:val="00385E0E"/>
    <w:rPr>
      <w:u w:val="none"/>
    </w:rPr>
  </w:style>
  <w:style w:type="character" w:customStyle="1" w:styleId="ListLabel129">
    <w:name w:val="ListLabel 129"/>
    <w:qFormat/>
    <w:rsid w:val="00385E0E"/>
    <w:rPr>
      <w:u w:val="none"/>
    </w:rPr>
  </w:style>
  <w:style w:type="character" w:customStyle="1" w:styleId="ListLabel130">
    <w:name w:val="ListLabel 130"/>
    <w:qFormat/>
    <w:rsid w:val="00385E0E"/>
    <w:rPr>
      <w:u w:val="none"/>
    </w:rPr>
  </w:style>
  <w:style w:type="character" w:customStyle="1" w:styleId="ListLabel131">
    <w:name w:val="ListLabel 131"/>
    <w:qFormat/>
    <w:rsid w:val="00385E0E"/>
    <w:rPr>
      <w:u w:val="none"/>
    </w:rPr>
  </w:style>
  <w:style w:type="character" w:customStyle="1" w:styleId="ListLabel132">
    <w:name w:val="ListLabel 132"/>
    <w:qFormat/>
    <w:rsid w:val="00385E0E"/>
    <w:rPr>
      <w:u w:val="none"/>
    </w:rPr>
  </w:style>
  <w:style w:type="character" w:customStyle="1" w:styleId="ListLabel133">
    <w:name w:val="ListLabel 133"/>
    <w:qFormat/>
    <w:rsid w:val="00385E0E"/>
    <w:rPr>
      <w:u w:val="none"/>
    </w:rPr>
  </w:style>
  <w:style w:type="character" w:customStyle="1" w:styleId="ListLabel134">
    <w:name w:val="ListLabel 134"/>
    <w:qFormat/>
    <w:rsid w:val="00385E0E"/>
    <w:rPr>
      <w:u w:val="none"/>
    </w:rPr>
  </w:style>
  <w:style w:type="character" w:customStyle="1" w:styleId="ListLabel135">
    <w:name w:val="ListLabel 135"/>
    <w:qFormat/>
    <w:rsid w:val="00385E0E"/>
    <w:rPr>
      <w:u w:val="none"/>
    </w:rPr>
  </w:style>
  <w:style w:type="character" w:customStyle="1" w:styleId="ListLabel136">
    <w:name w:val="ListLabel 136"/>
    <w:qFormat/>
    <w:rsid w:val="00385E0E"/>
    <w:rPr>
      <w:rFonts w:ascii="Calibri" w:hAnsi="Calibri"/>
      <w:u w:val="none"/>
    </w:rPr>
  </w:style>
  <w:style w:type="character" w:customStyle="1" w:styleId="ListLabel137">
    <w:name w:val="ListLabel 137"/>
    <w:qFormat/>
    <w:rsid w:val="00385E0E"/>
    <w:rPr>
      <w:u w:val="none"/>
    </w:rPr>
  </w:style>
  <w:style w:type="character" w:customStyle="1" w:styleId="ListLabel138">
    <w:name w:val="ListLabel 138"/>
    <w:qFormat/>
    <w:rsid w:val="00385E0E"/>
    <w:rPr>
      <w:u w:val="none"/>
    </w:rPr>
  </w:style>
  <w:style w:type="character" w:customStyle="1" w:styleId="ListLabel139">
    <w:name w:val="ListLabel 139"/>
    <w:qFormat/>
    <w:rsid w:val="00385E0E"/>
    <w:rPr>
      <w:u w:val="none"/>
    </w:rPr>
  </w:style>
  <w:style w:type="character" w:customStyle="1" w:styleId="ListLabel140">
    <w:name w:val="ListLabel 140"/>
    <w:qFormat/>
    <w:rsid w:val="00385E0E"/>
    <w:rPr>
      <w:u w:val="none"/>
    </w:rPr>
  </w:style>
  <w:style w:type="character" w:customStyle="1" w:styleId="ListLabel141">
    <w:name w:val="ListLabel 141"/>
    <w:qFormat/>
    <w:rsid w:val="00385E0E"/>
    <w:rPr>
      <w:u w:val="none"/>
    </w:rPr>
  </w:style>
  <w:style w:type="character" w:customStyle="1" w:styleId="ListLabel142">
    <w:name w:val="ListLabel 142"/>
    <w:qFormat/>
    <w:rsid w:val="00385E0E"/>
    <w:rPr>
      <w:u w:val="none"/>
    </w:rPr>
  </w:style>
  <w:style w:type="character" w:customStyle="1" w:styleId="ListLabel143">
    <w:name w:val="ListLabel 143"/>
    <w:qFormat/>
    <w:rsid w:val="00385E0E"/>
    <w:rPr>
      <w:u w:val="none"/>
    </w:rPr>
  </w:style>
  <w:style w:type="character" w:customStyle="1" w:styleId="ListLabel144">
    <w:name w:val="ListLabel 144"/>
    <w:qFormat/>
    <w:rsid w:val="00385E0E"/>
    <w:rPr>
      <w:u w:val="none"/>
    </w:rPr>
  </w:style>
  <w:style w:type="character" w:customStyle="1" w:styleId="ListLabel145">
    <w:name w:val="ListLabel 145"/>
    <w:qFormat/>
    <w:rsid w:val="00385E0E"/>
    <w:rPr>
      <w:u w:val="none"/>
    </w:rPr>
  </w:style>
  <w:style w:type="character" w:customStyle="1" w:styleId="ListLabel146">
    <w:name w:val="ListLabel 146"/>
    <w:qFormat/>
    <w:rsid w:val="00385E0E"/>
    <w:rPr>
      <w:u w:val="none"/>
    </w:rPr>
  </w:style>
  <w:style w:type="character" w:customStyle="1" w:styleId="ListLabel147">
    <w:name w:val="ListLabel 147"/>
    <w:qFormat/>
    <w:rsid w:val="00385E0E"/>
    <w:rPr>
      <w:u w:val="none"/>
    </w:rPr>
  </w:style>
  <w:style w:type="character" w:customStyle="1" w:styleId="ListLabel148">
    <w:name w:val="ListLabel 148"/>
    <w:qFormat/>
    <w:rsid w:val="00385E0E"/>
    <w:rPr>
      <w:u w:val="none"/>
    </w:rPr>
  </w:style>
  <w:style w:type="character" w:customStyle="1" w:styleId="ListLabel149">
    <w:name w:val="ListLabel 149"/>
    <w:qFormat/>
    <w:rsid w:val="00385E0E"/>
    <w:rPr>
      <w:u w:val="none"/>
    </w:rPr>
  </w:style>
  <w:style w:type="character" w:customStyle="1" w:styleId="ListLabel150">
    <w:name w:val="ListLabel 150"/>
    <w:qFormat/>
    <w:rsid w:val="00385E0E"/>
    <w:rPr>
      <w:u w:val="none"/>
    </w:rPr>
  </w:style>
  <w:style w:type="character" w:customStyle="1" w:styleId="ListLabel151">
    <w:name w:val="ListLabel 151"/>
    <w:qFormat/>
    <w:rsid w:val="00385E0E"/>
    <w:rPr>
      <w:u w:val="none"/>
    </w:rPr>
  </w:style>
  <w:style w:type="character" w:customStyle="1" w:styleId="ListLabel152">
    <w:name w:val="ListLabel 152"/>
    <w:qFormat/>
    <w:rsid w:val="00385E0E"/>
    <w:rPr>
      <w:u w:val="none"/>
    </w:rPr>
  </w:style>
  <w:style w:type="character" w:customStyle="1" w:styleId="ListLabel153">
    <w:name w:val="ListLabel 153"/>
    <w:qFormat/>
    <w:rsid w:val="00385E0E"/>
    <w:rPr>
      <w:u w:val="none"/>
    </w:rPr>
  </w:style>
  <w:style w:type="character" w:customStyle="1" w:styleId="ListLabel154">
    <w:name w:val="ListLabel 154"/>
    <w:qFormat/>
    <w:rsid w:val="00385E0E"/>
    <w:rPr>
      <w:u w:val="none"/>
    </w:rPr>
  </w:style>
  <w:style w:type="character" w:customStyle="1" w:styleId="ListLabel155">
    <w:name w:val="ListLabel 155"/>
    <w:qFormat/>
    <w:rsid w:val="00385E0E"/>
    <w:rPr>
      <w:u w:val="none"/>
    </w:rPr>
  </w:style>
  <w:style w:type="character" w:customStyle="1" w:styleId="ListLabel156">
    <w:name w:val="ListLabel 156"/>
    <w:qFormat/>
    <w:rsid w:val="00385E0E"/>
    <w:rPr>
      <w:u w:val="none"/>
    </w:rPr>
  </w:style>
  <w:style w:type="character" w:customStyle="1" w:styleId="ListLabel157">
    <w:name w:val="ListLabel 157"/>
    <w:qFormat/>
    <w:rsid w:val="00385E0E"/>
    <w:rPr>
      <w:u w:val="none"/>
    </w:rPr>
  </w:style>
  <w:style w:type="character" w:customStyle="1" w:styleId="ListLabel158">
    <w:name w:val="ListLabel 158"/>
    <w:qFormat/>
    <w:rsid w:val="00385E0E"/>
    <w:rPr>
      <w:u w:val="none"/>
    </w:rPr>
  </w:style>
  <w:style w:type="character" w:customStyle="1" w:styleId="ListLabel159">
    <w:name w:val="ListLabel 159"/>
    <w:qFormat/>
    <w:rsid w:val="00385E0E"/>
    <w:rPr>
      <w:u w:val="none"/>
    </w:rPr>
  </w:style>
  <w:style w:type="character" w:customStyle="1" w:styleId="ListLabel160">
    <w:name w:val="ListLabel 160"/>
    <w:qFormat/>
    <w:rsid w:val="00385E0E"/>
    <w:rPr>
      <w:u w:val="none"/>
    </w:rPr>
  </w:style>
  <w:style w:type="character" w:customStyle="1" w:styleId="ListLabel161">
    <w:name w:val="ListLabel 161"/>
    <w:qFormat/>
    <w:rsid w:val="00385E0E"/>
    <w:rPr>
      <w:u w:val="none"/>
    </w:rPr>
  </w:style>
  <w:style w:type="character" w:customStyle="1" w:styleId="ListLabel162">
    <w:name w:val="ListLabel 162"/>
    <w:qFormat/>
    <w:rsid w:val="00385E0E"/>
    <w:rPr>
      <w:u w:val="none"/>
    </w:rPr>
  </w:style>
  <w:style w:type="character" w:customStyle="1" w:styleId="ListLabel163">
    <w:name w:val="ListLabel 163"/>
    <w:qFormat/>
    <w:rsid w:val="00385E0E"/>
    <w:rPr>
      <w:rFonts w:ascii="Calibri" w:hAnsi="Calibri"/>
      <w:u w:val="none"/>
    </w:rPr>
  </w:style>
  <w:style w:type="character" w:customStyle="1" w:styleId="ListLabel164">
    <w:name w:val="ListLabel 164"/>
    <w:qFormat/>
    <w:rsid w:val="00385E0E"/>
    <w:rPr>
      <w:u w:val="none"/>
    </w:rPr>
  </w:style>
  <w:style w:type="character" w:customStyle="1" w:styleId="ListLabel165">
    <w:name w:val="ListLabel 165"/>
    <w:qFormat/>
    <w:rsid w:val="00385E0E"/>
    <w:rPr>
      <w:u w:val="none"/>
    </w:rPr>
  </w:style>
  <w:style w:type="character" w:customStyle="1" w:styleId="ListLabel166">
    <w:name w:val="ListLabel 166"/>
    <w:qFormat/>
    <w:rsid w:val="00385E0E"/>
    <w:rPr>
      <w:u w:val="none"/>
    </w:rPr>
  </w:style>
  <w:style w:type="character" w:customStyle="1" w:styleId="ListLabel167">
    <w:name w:val="ListLabel 167"/>
    <w:qFormat/>
    <w:rsid w:val="00385E0E"/>
    <w:rPr>
      <w:u w:val="none"/>
    </w:rPr>
  </w:style>
  <w:style w:type="character" w:customStyle="1" w:styleId="ListLabel168">
    <w:name w:val="ListLabel 168"/>
    <w:qFormat/>
    <w:rsid w:val="00385E0E"/>
    <w:rPr>
      <w:u w:val="none"/>
    </w:rPr>
  </w:style>
  <w:style w:type="character" w:customStyle="1" w:styleId="ListLabel169">
    <w:name w:val="ListLabel 169"/>
    <w:qFormat/>
    <w:rsid w:val="00385E0E"/>
    <w:rPr>
      <w:u w:val="none"/>
    </w:rPr>
  </w:style>
  <w:style w:type="character" w:customStyle="1" w:styleId="ListLabel170">
    <w:name w:val="ListLabel 170"/>
    <w:qFormat/>
    <w:rsid w:val="00385E0E"/>
    <w:rPr>
      <w:u w:val="none"/>
    </w:rPr>
  </w:style>
  <w:style w:type="character" w:customStyle="1" w:styleId="ListLabel171">
    <w:name w:val="ListLabel 171"/>
    <w:qFormat/>
    <w:rsid w:val="00385E0E"/>
    <w:rPr>
      <w:u w:val="none"/>
    </w:rPr>
  </w:style>
  <w:style w:type="character" w:customStyle="1" w:styleId="ListLabel172">
    <w:name w:val="ListLabel 172"/>
    <w:qFormat/>
    <w:rsid w:val="00385E0E"/>
    <w:rPr>
      <w:u w:val="none"/>
    </w:rPr>
  </w:style>
  <w:style w:type="character" w:customStyle="1" w:styleId="ListLabel173">
    <w:name w:val="ListLabel 173"/>
    <w:qFormat/>
    <w:rsid w:val="00385E0E"/>
    <w:rPr>
      <w:u w:val="none"/>
    </w:rPr>
  </w:style>
  <w:style w:type="character" w:customStyle="1" w:styleId="ListLabel174">
    <w:name w:val="ListLabel 174"/>
    <w:qFormat/>
    <w:rsid w:val="00385E0E"/>
    <w:rPr>
      <w:u w:val="none"/>
    </w:rPr>
  </w:style>
  <w:style w:type="character" w:customStyle="1" w:styleId="ListLabel175">
    <w:name w:val="ListLabel 175"/>
    <w:qFormat/>
    <w:rsid w:val="00385E0E"/>
    <w:rPr>
      <w:u w:val="none"/>
    </w:rPr>
  </w:style>
  <w:style w:type="character" w:customStyle="1" w:styleId="ListLabel176">
    <w:name w:val="ListLabel 176"/>
    <w:qFormat/>
    <w:rsid w:val="00385E0E"/>
    <w:rPr>
      <w:u w:val="none"/>
    </w:rPr>
  </w:style>
  <w:style w:type="character" w:customStyle="1" w:styleId="ListLabel177">
    <w:name w:val="ListLabel 177"/>
    <w:qFormat/>
    <w:rsid w:val="00385E0E"/>
    <w:rPr>
      <w:u w:val="none"/>
    </w:rPr>
  </w:style>
  <w:style w:type="character" w:customStyle="1" w:styleId="ListLabel178">
    <w:name w:val="ListLabel 178"/>
    <w:qFormat/>
    <w:rsid w:val="00385E0E"/>
    <w:rPr>
      <w:u w:val="none"/>
    </w:rPr>
  </w:style>
  <w:style w:type="character" w:customStyle="1" w:styleId="ListLabel179">
    <w:name w:val="ListLabel 179"/>
    <w:qFormat/>
    <w:rsid w:val="00385E0E"/>
    <w:rPr>
      <w:u w:val="none"/>
    </w:rPr>
  </w:style>
  <w:style w:type="character" w:customStyle="1" w:styleId="ListLabel180">
    <w:name w:val="ListLabel 180"/>
    <w:qFormat/>
    <w:rsid w:val="00385E0E"/>
    <w:rPr>
      <w:u w:val="none"/>
    </w:rPr>
  </w:style>
  <w:style w:type="character" w:customStyle="1" w:styleId="ListLabel181">
    <w:name w:val="ListLabel 181"/>
    <w:qFormat/>
    <w:rsid w:val="00385E0E"/>
    <w:rPr>
      <w:u w:val="none"/>
    </w:rPr>
  </w:style>
  <w:style w:type="character" w:customStyle="1" w:styleId="ListLabel182">
    <w:name w:val="ListLabel 182"/>
    <w:qFormat/>
    <w:rsid w:val="00385E0E"/>
    <w:rPr>
      <w:u w:val="none"/>
    </w:rPr>
  </w:style>
  <w:style w:type="character" w:customStyle="1" w:styleId="ListLabel183">
    <w:name w:val="ListLabel 183"/>
    <w:qFormat/>
    <w:rsid w:val="00385E0E"/>
    <w:rPr>
      <w:u w:val="none"/>
    </w:rPr>
  </w:style>
  <w:style w:type="character" w:customStyle="1" w:styleId="ListLabel184">
    <w:name w:val="ListLabel 184"/>
    <w:qFormat/>
    <w:rsid w:val="00385E0E"/>
    <w:rPr>
      <w:u w:val="none"/>
    </w:rPr>
  </w:style>
  <w:style w:type="character" w:customStyle="1" w:styleId="ListLabel185">
    <w:name w:val="ListLabel 185"/>
    <w:qFormat/>
    <w:rsid w:val="00385E0E"/>
    <w:rPr>
      <w:u w:val="none"/>
    </w:rPr>
  </w:style>
  <w:style w:type="character" w:customStyle="1" w:styleId="ListLabel186">
    <w:name w:val="ListLabel 186"/>
    <w:qFormat/>
    <w:rsid w:val="00385E0E"/>
    <w:rPr>
      <w:u w:val="none"/>
    </w:rPr>
  </w:style>
  <w:style w:type="character" w:customStyle="1" w:styleId="ListLabel187">
    <w:name w:val="ListLabel 187"/>
    <w:qFormat/>
    <w:rsid w:val="00385E0E"/>
    <w:rPr>
      <w:u w:val="none"/>
    </w:rPr>
  </w:style>
  <w:style w:type="character" w:customStyle="1" w:styleId="ListLabel188">
    <w:name w:val="ListLabel 188"/>
    <w:qFormat/>
    <w:rsid w:val="00385E0E"/>
    <w:rPr>
      <w:u w:val="none"/>
    </w:rPr>
  </w:style>
  <w:style w:type="character" w:customStyle="1" w:styleId="ListLabel189">
    <w:name w:val="ListLabel 189"/>
    <w:qFormat/>
    <w:rsid w:val="00385E0E"/>
    <w:rPr>
      <w:u w:val="none"/>
    </w:rPr>
  </w:style>
  <w:style w:type="character" w:customStyle="1" w:styleId="ListLabel190">
    <w:name w:val="ListLabel 190"/>
    <w:qFormat/>
    <w:rsid w:val="00385E0E"/>
    <w:rPr>
      <w:rFonts w:ascii="Calibri" w:hAnsi="Calibri"/>
      <w:u w:val="none"/>
    </w:rPr>
  </w:style>
  <w:style w:type="character" w:customStyle="1" w:styleId="ListLabel191">
    <w:name w:val="ListLabel 191"/>
    <w:qFormat/>
    <w:rsid w:val="00385E0E"/>
    <w:rPr>
      <w:u w:val="none"/>
    </w:rPr>
  </w:style>
  <w:style w:type="character" w:customStyle="1" w:styleId="ListLabel192">
    <w:name w:val="ListLabel 192"/>
    <w:qFormat/>
    <w:rsid w:val="00385E0E"/>
    <w:rPr>
      <w:u w:val="none"/>
    </w:rPr>
  </w:style>
  <w:style w:type="character" w:customStyle="1" w:styleId="ListLabel193">
    <w:name w:val="ListLabel 193"/>
    <w:qFormat/>
    <w:rsid w:val="00385E0E"/>
    <w:rPr>
      <w:u w:val="none"/>
    </w:rPr>
  </w:style>
  <w:style w:type="character" w:customStyle="1" w:styleId="ListLabel194">
    <w:name w:val="ListLabel 194"/>
    <w:qFormat/>
    <w:rsid w:val="00385E0E"/>
    <w:rPr>
      <w:u w:val="none"/>
    </w:rPr>
  </w:style>
  <w:style w:type="character" w:customStyle="1" w:styleId="ListLabel195">
    <w:name w:val="ListLabel 195"/>
    <w:qFormat/>
    <w:rsid w:val="00385E0E"/>
    <w:rPr>
      <w:u w:val="none"/>
    </w:rPr>
  </w:style>
  <w:style w:type="character" w:customStyle="1" w:styleId="ListLabel196">
    <w:name w:val="ListLabel 196"/>
    <w:qFormat/>
    <w:rsid w:val="00385E0E"/>
    <w:rPr>
      <w:u w:val="none"/>
    </w:rPr>
  </w:style>
  <w:style w:type="character" w:customStyle="1" w:styleId="ListLabel197">
    <w:name w:val="ListLabel 197"/>
    <w:qFormat/>
    <w:rsid w:val="00385E0E"/>
    <w:rPr>
      <w:u w:val="none"/>
    </w:rPr>
  </w:style>
  <w:style w:type="character" w:customStyle="1" w:styleId="ListLabel198">
    <w:name w:val="ListLabel 198"/>
    <w:qFormat/>
    <w:rsid w:val="00385E0E"/>
    <w:rPr>
      <w:u w:val="none"/>
    </w:rPr>
  </w:style>
  <w:style w:type="character" w:customStyle="1" w:styleId="ListLabel199">
    <w:name w:val="ListLabel 199"/>
    <w:qFormat/>
    <w:rsid w:val="00385E0E"/>
    <w:rPr>
      <w:rFonts w:ascii="Calibri" w:hAnsi="Calibri"/>
      <w:u w:val="none"/>
    </w:rPr>
  </w:style>
  <w:style w:type="character" w:customStyle="1" w:styleId="ListLabel200">
    <w:name w:val="ListLabel 200"/>
    <w:qFormat/>
    <w:rsid w:val="00385E0E"/>
    <w:rPr>
      <w:u w:val="none"/>
    </w:rPr>
  </w:style>
  <w:style w:type="character" w:customStyle="1" w:styleId="ListLabel201">
    <w:name w:val="ListLabel 201"/>
    <w:qFormat/>
    <w:rsid w:val="00385E0E"/>
    <w:rPr>
      <w:u w:val="none"/>
    </w:rPr>
  </w:style>
  <w:style w:type="character" w:customStyle="1" w:styleId="ListLabel202">
    <w:name w:val="ListLabel 202"/>
    <w:qFormat/>
    <w:rsid w:val="00385E0E"/>
    <w:rPr>
      <w:u w:val="none"/>
    </w:rPr>
  </w:style>
  <w:style w:type="character" w:customStyle="1" w:styleId="ListLabel203">
    <w:name w:val="ListLabel 203"/>
    <w:qFormat/>
    <w:rsid w:val="00385E0E"/>
    <w:rPr>
      <w:u w:val="none"/>
    </w:rPr>
  </w:style>
  <w:style w:type="character" w:customStyle="1" w:styleId="ListLabel204">
    <w:name w:val="ListLabel 204"/>
    <w:qFormat/>
    <w:rsid w:val="00385E0E"/>
    <w:rPr>
      <w:u w:val="none"/>
    </w:rPr>
  </w:style>
  <w:style w:type="character" w:customStyle="1" w:styleId="ListLabel205">
    <w:name w:val="ListLabel 205"/>
    <w:qFormat/>
    <w:rsid w:val="00385E0E"/>
    <w:rPr>
      <w:u w:val="none"/>
    </w:rPr>
  </w:style>
  <w:style w:type="character" w:customStyle="1" w:styleId="ListLabel206">
    <w:name w:val="ListLabel 206"/>
    <w:qFormat/>
    <w:rsid w:val="00385E0E"/>
    <w:rPr>
      <w:u w:val="none"/>
    </w:rPr>
  </w:style>
  <w:style w:type="character" w:customStyle="1" w:styleId="ListLabel207">
    <w:name w:val="ListLabel 207"/>
    <w:qFormat/>
    <w:rsid w:val="00385E0E"/>
    <w:rPr>
      <w:u w:val="none"/>
    </w:rPr>
  </w:style>
  <w:style w:type="character" w:customStyle="1" w:styleId="ListLabel208">
    <w:name w:val="ListLabel 208"/>
    <w:qFormat/>
    <w:rsid w:val="00385E0E"/>
    <w:rPr>
      <w:rFonts w:ascii="Calibri" w:hAnsi="Calibri"/>
      <w:u w:val="none"/>
    </w:rPr>
  </w:style>
  <w:style w:type="character" w:customStyle="1" w:styleId="ListLabel209">
    <w:name w:val="ListLabel 209"/>
    <w:qFormat/>
    <w:rsid w:val="00385E0E"/>
    <w:rPr>
      <w:u w:val="none"/>
    </w:rPr>
  </w:style>
  <w:style w:type="character" w:customStyle="1" w:styleId="ListLabel210">
    <w:name w:val="ListLabel 210"/>
    <w:qFormat/>
    <w:rsid w:val="00385E0E"/>
    <w:rPr>
      <w:u w:val="none"/>
    </w:rPr>
  </w:style>
  <w:style w:type="character" w:customStyle="1" w:styleId="ListLabel211">
    <w:name w:val="ListLabel 211"/>
    <w:qFormat/>
    <w:rsid w:val="00385E0E"/>
    <w:rPr>
      <w:u w:val="none"/>
    </w:rPr>
  </w:style>
  <w:style w:type="character" w:customStyle="1" w:styleId="ListLabel212">
    <w:name w:val="ListLabel 212"/>
    <w:qFormat/>
    <w:rsid w:val="00385E0E"/>
    <w:rPr>
      <w:u w:val="none"/>
    </w:rPr>
  </w:style>
  <w:style w:type="character" w:customStyle="1" w:styleId="ListLabel213">
    <w:name w:val="ListLabel 213"/>
    <w:qFormat/>
    <w:rsid w:val="00385E0E"/>
    <w:rPr>
      <w:u w:val="none"/>
    </w:rPr>
  </w:style>
  <w:style w:type="character" w:customStyle="1" w:styleId="ListLabel214">
    <w:name w:val="ListLabel 214"/>
    <w:qFormat/>
    <w:rsid w:val="00385E0E"/>
    <w:rPr>
      <w:u w:val="none"/>
    </w:rPr>
  </w:style>
  <w:style w:type="character" w:customStyle="1" w:styleId="ListLabel215">
    <w:name w:val="ListLabel 215"/>
    <w:qFormat/>
    <w:rsid w:val="00385E0E"/>
    <w:rPr>
      <w:u w:val="none"/>
    </w:rPr>
  </w:style>
  <w:style w:type="character" w:customStyle="1" w:styleId="ListLabel216">
    <w:name w:val="ListLabel 216"/>
    <w:qFormat/>
    <w:rsid w:val="00385E0E"/>
    <w:rPr>
      <w:u w:val="none"/>
    </w:rPr>
  </w:style>
  <w:style w:type="character" w:customStyle="1" w:styleId="ListLabel217">
    <w:name w:val="ListLabel 217"/>
    <w:qFormat/>
    <w:rsid w:val="00385E0E"/>
    <w:rPr>
      <w:rFonts w:ascii="Calibri" w:eastAsia="Calibri" w:hAnsi="Calibri" w:cs="Calibri"/>
      <w:b w:val="0"/>
      <w:u w:val="none"/>
    </w:rPr>
  </w:style>
  <w:style w:type="character" w:customStyle="1" w:styleId="ListLabel218">
    <w:name w:val="ListLabel 218"/>
    <w:qFormat/>
    <w:rsid w:val="00385E0E"/>
    <w:rPr>
      <w:u w:val="none"/>
    </w:rPr>
  </w:style>
  <w:style w:type="character" w:customStyle="1" w:styleId="ListLabel219">
    <w:name w:val="ListLabel 219"/>
    <w:qFormat/>
    <w:rsid w:val="00385E0E"/>
    <w:rPr>
      <w:u w:val="none"/>
    </w:rPr>
  </w:style>
  <w:style w:type="character" w:customStyle="1" w:styleId="ListLabel220">
    <w:name w:val="ListLabel 220"/>
    <w:qFormat/>
    <w:rsid w:val="00385E0E"/>
    <w:rPr>
      <w:u w:val="none"/>
    </w:rPr>
  </w:style>
  <w:style w:type="character" w:customStyle="1" w:styleId="ListLabel221">
    <w:name w:val="ListLabel 221"/>
    <w:qFormat/>
    <w:rsid w:val="00385E0E"/>
    <w:rPr>
      <w:u w:val="none"/>
    </w:rPr>
  </w:style>
  <w:style w:type="character" w:customStyle="1" w:styleId="ListLabel222">
    <w:name w:val="ListLabel 222"/>
    <w:qFormat/>
    <w:rsid w:val="00385E0E"/>
    <w:rPr>
      <w:u w:val="none"/>
    </w:rPr>
  </w:style>
  <w:style w:type="character" w:customStyle="1" w:styleId="ListLabel223">
    <w:name w:val="ListLabel 223"/>
    <w:qFormat/>
    <w:rsid w:val="00385E0E"/>
    <w:rPr>
      <w:u w:val="none"/>
    </w:rPr>
  </w:style>
  <w:style w:type="character" w:customStyle="1" w:styleId="ListLabel224">
    <w:name w:val="ListLabel 224"/>
    <w:qFormat/>
    <w:rsid w:val="00385E0E"/>
    <w:rPr>
      <w:u w:val="none"/>
    </w:rPr>
  </w:style>
  <w:style w:type="character" w:customStyle="1" w:styleId="ListLabel225">
    <w:name w:val="ListLabel 225"/>
    <w:qFormat/>
    <w:rsid w:val="00385E0E"/>
    <w:rPr>
      <w:u w:val="none"/>
    </w:rPr>
  </w:style>
  <w:style w:type="character" w:customStyle="1" w:styleId="ListLabel226">
    <w:name w:val="ListLabel 226"/>
    <w:qFormat/>
    <w:rsid w:val="00385E0E"/>
    <w:rPr>
      <w:rFonts w:ascii="Calibri" w:hAnsi="Calibri"/>
      <w:u w:val="none"/>
    </w:rPr>
  </w:style>
  <w:style w:type="character" w:customStyle="1" w:styleId="ListLabel227">
    <w:name w:val="ListLabel 227"/>
    <w:qFormat/>
    <w:rsid w:val="00385E0E"/>
    <w:rPr>
      <w:u w:val="none"/>
    </w:rPr>
  </w:style>
  <w:style w:type="character" w:customStyle="1" w:styleId="ListLabel228">
    <w:name w:val="ListLabel 228"/>
    <w:qFormat/>
    <w:rsid w:val="00385E0E"/>
    <w:rPr>
      <w:u w:val="none"/>
    </w:rPr>
  </w:style>
  <w:style w:type="character" w:customStyle="1" w:styleId="ListLabel229">
    <w:name w:val="ListLabel 229"/>
    <w:qFormat/>
    <w:rsid w:val="00385E0E"/>
    <w:rPr>
      <w:u w:val="none"/>
    </w:rPr>
  </w:style>
  <w:style w:type="character" w:customStyle="1" w:styleId="ListLabel230">
    <w:name w:val="ListLabel 230"/>
    <w:qFormat/>
    <w:rsid w:val="00385E0E"/>
    <w:rPr>
      <w:u w:val="none"/>
    </w:rPr>
  </w:style>
  <w:style w:type="character" w:customStyle="1" w:styleId="ListLabel231">
    <w:name w:val="ListLabel 231"/>
    <w:qFormat/>
    <w:rsid w:val="00385E0E"/>
    <w:rPr>
      <w:u w:val="none"/>
    </w:rPr>
  </w:style>
  <w:style w:type="character" w:customStyle="1" w:styleId="ListLabel232">
    <w:name w:val="ListLabel 232"/>
    <w:qFormat/>
    <w:rsid w:val="00385E0E"/>
    <w:rPr>
      <w:u w:val="none"/>
    </w:rPr>
  </w:style>
  <w:style w:type="character" w:customStyle="1" w:styleId="ListLabel233">
    <w:name w:val="ListLabel 233"/>
    <w:qFormat/>
    <w:rsid w:val="00385E0E"/>
    <w:rPr>
      <w:u w:val="none"/>
    </w:rPr>
  </w:style>
  <w:style w:type="character" w:customStyle="1" w:styleId="ListLabel234">
    <w:name w:val="ListLabel 234"/>
    <w:qFormat/>
    <w:rsid w:val="00385E0E"/>
    <w:rPr>
      <w:u w:val="none"/>
    </w:rPr>
  </w:style>
  <w:style w:type="character" w:customStyle="1" w:styleId="ListLabel235">
    <w:name w:val="ListLabel 235"/>
    <w:qFormat/>
    <w:rsid w:val="00385E0E"/>
    <w:rPr>
      <w:u w:val="none"/>
    </w:rPr>
  </w:style>
  <w:style w:type="character" w:customStyle="1" w:styleId="ListLabel236">
    <w:name w:val="ListLabel 236"/>
    <w:qFormat/>
    <w:rsid w:val="00385E0E"/>
    <w:rPr>
      <w:u w:val="none"/>
    </w:rPr>
  </w:style>
  <w:style w:type="character" w:customStyle="1" w:styleId="ListLabel237">
    <w:name w:val="ListLabel 237"/>
    <w:qFormat/>
    <w:rsid w:val="00385E0E"/>
    <w:rPr>
      <w:u w:val="none"/>
    </w:rPr>
  </w:style>
  <w:style w:type="character" w:customStyle="1" w:styleId="ListLabel238">
    <w:name w:val="ListLabel 238"/>
    <w:qFormat/>
    <w:rsid w:val="00385E0E"/>
    <w:rPr>
      <w:u w:val="none"/>
    </w:rPr>
  </w:style>
  <w:style w:type="character" w:customStyle="1" w:styleId="ListLabel239">
    <w:name w:val="ListLabel 239"/>
    <w:qFormat/>
    <w:rsid w:val="00385E0E"/>
    <w:rPr>
      <w:u w:val="none"/>
    </w:rPr>
  </w:style>
  <w:style w:type="character" w:customStyle="1" w:styleId="ListLabel240">
    <w:name w:val="ListLabel 240"/>
    <w:qFormat/>
    <w:rsid w:val="00385E0E"/>
    <w:rPr>
      <w:u w:val="none"/>
    </w:rPr>
  </w:style>
  <w:style w:type="character" w:customStyle="1" w:styleId="ListLabel241">
    <w:name w:val="ListLabel 241"/>
    <w:qFormat/>
    <w:rsid w:val="00385E0E"/>
    <w:rPr>
      <w:u w:val="none"/>
    </w:rPr>
  </w:style>
  <w:style w:type="character" w:customStyle="1" w:styleId="ListLabel242">
    <w:name w:val="ListLabel 242"/>
    <w:qFormat/>
    <w:rsid w:val="00385E0E"/>
    <w:rPr>
      <w:u w:val="none"/>
    </w:rPr>
  </w:style>
  <w:style w:type="character" w:customStyle="1" w:styleId="ListLabel243">
    <w:name w:val="ListLabel 243"/>
    <w:qFormat/>
    <w:rsid w:val="00385E0E"/>
    <w:rPr>
      <w:u w:val="none"/>
    </w:rPr>
  </w:style>
  <w:style w:type="character" w:customStyle="1" w:styleId="ListLabel244">
    <w:name w:val="ListLabel 244"/>
    <w:qFormat/>
    <w:rsid w:val="00385E0E"/>
    <w:rPr>
      <w:rFonts w:ascii="Calibri" w:hAnsi="Calibri"/>
      <w:u w:val="none"/>
    </w:rPr>
  </w:style>
  <w:style w:type="character" w:customStyle="1" w:styleId="ListLabel245">
    <w:name w:val="ListLabel 245"/>
    <w:qFormat/>
    <w:rsid w:val="00385E0E"/>
    <w:rPr>
      <w:u w:val="none"/>
    </w:rPr>
  </w:style>
  <w:style w:type="character" w:customStyle="1" w:styleId="ListLabel246">
    <w:name w:val="ListLabel 246"/>
    <w:qFormat/>
    <w:rsid w:val="00385E0E"/>
    <w:rPr>
      <w:u w:val="none"/>
    </w:rPr>
  </w:style>
  <w:style w:type="character" w:customStyle="1" w:styleId="ListLabel247">
    <w:name w:val="ListLabel 247"/>
    <w:qFormat/>
    <w:rsid w:val="00385E0E"/>
    <w:rPr>
      <w:u w:val="none"/>
    </w:rPr>
  </w:style>
  <w:style w:type="character" w:customStyle="1" w:styleId="ListLabel248">
    <w:name w:val="ListLabel 248"/>
    <w:qFormat/>
    <w:rsid w:val="00385E0E"/>
    <w:rPr>
      <w:u w:val="none"/>
    </w:rPr>
  </w:style>
  <w:style w:type="character" w:customStyle="1" w:styleId="ListLabel249">
    <w:name w:val="ListLabel 249"/>
    <w:qFormat/>
    <w:rsid w:val="00385E0E"/>
    <w:rPr>
      <w:u w:val="none"/>
    </w:rPr>
  </w:style>
  <w:style w:type="character" w:customStyle="1" w:styleId="ListLabel250">
    <w:name w:val="ListLabel 250"/>
    <w:qFormat/>
    <w:rsid w:val="00385E0E"/>
    <w:rPr>
      <w:u w:val="none"/>
    </w:rPr>
  </w:style>
  <w:style w:type="character" w:customStyle="1" w:styleId="ListLabel251">
    <w:name w:val="ListLabel 251"/>
    <w:qFormat/>
    <w:rsid w:val="00385E0E"/>
    <w:rPr>
      <w:u w:val="none"/>
    </w:rPr>
  </w:style>
  <w:style w:type="character" w:customStyle="1" w:styleId="ListLabel252">
    <w:name w:val="ListLabel 252"/>
    <w:qFormat/>
    <w:rsid w:val="00385E0E"/>
    <w:rPr>
      <w:u w:val="none"/>
    </w:rPr>
  </w:style>
  <w:style w:type="character" w:customStyle="1" w:styleId="ListLabel253">
    <w:name w:val="ListLabel 253"/>
    <w:qFormat/>
    <w:rsid w:val="00385E0E"/>
    <w:rPr>
      <w:u w:val="none"/>
    </w:rPr>
  </w:style>
  <w:style w:type="character" w:customStyle="1" w:styleId="ListLabel254">
    <w:name w:val="ListLabel 254"/>
    <w:qFormat/>
    <w:rsid w:val="00385E0E"/>
    <w:rPr>
      <w:rFonts w:ascii="Calibri" w:hAnsi="Calibri"/>
      <w:u w:val="none"/>
    </w:rPr>
  </w:style>
  <w:style w:type="character" w:customStyle="1" w:styleId="ListLabel255">
    <w:name w:val="ListLabel 255"/>
    <w:qFormat/>
    <w:rsid w:val="00385E0E"/>
    <w:rPr>
      <w:u w:val="none"/>
    </w:rPr>
  </w:style>
  <w:style w:type="character" w:customStyle="1" w:styleId="ListLabel256">
    <w:name w:val="ListLabel 256"/>
    <w:qFormat/>
    <w:rsid w:val="00385E0E"/>
    <w:rPr>
      <w:u w:val="none"/>
    </w:rPr>
  </w:style>
  <w:style w:type="character" w:customStyle="1" w:styleId="ListLabel257">
    <w:name w:val="ListLabel 257"/>
    <w:qFormat/>
    <w:rsid w:val="00385E0E"/>
    <w:rPr>
      <w:u w:val="none"/>
    </w:rPr>
  </w:style>
  <w:style w:type="character" w:customStyle="1" w:styleId="ListLabel258">
    <w:name w:val="ListLabel 258"/>
    <w:qFormat/>
    <w:rsid w:val="00385E0E"/>
    <w:rPr>
      <w:u w:val="none"/>
    </w:rPr>
  </w:style>
  <w:style w:type="character" w:customStyle="1" w:styleId="ListLabel259">
    <w:name w:val="ListLabel 259"/>
    <w:qFormat/>
    <w:rsid w:val="00385E0E"/>
    <w:rPr>
      <w:u w:val="none"/>
    </w:rPr>
  </w:style>
  <w:style w:type="character" w:customStyle="1" w:styleId="ListLabel260">
    <w:name w:val="ListLabel 260"/>
    <w:qFormat/>
    <w:rsid w:val="00385E0E"/>
    <w:rPr>
      <w:u w:val="none"/>
    </w:rPr>
  </w:style>
  <w:style w:type="character" w:customStyle="1" w:styleId="ListLabel261">
    <w:name w:val="ListLabel 261"/>
    <w:qFormat/>
    <w:rsid w:val="00385E0E"/>
    <w:rPr>
      <w:u w:val="none"/>
    </w:rPr>
  </w:style>
  <w:style w:type="character" w:customStyle="1" w:styleId="ListLabel262">
    <w:name w:val="ListLabel 262"/>
    <w:qFormat/>
    <w:rsid w:val="00385E0E"/>
    <w:rPr>
      <w:rFonts w:eastAsia="Calibri" w:cs="Calibri"/>
      <w:b w:val="0"/>
      <w:u w:val="none"/>
    </w:rPr>
  </w:style>
  <w:style w:type="character" w:customStyle="1" w:styleId="ListLabel263">
    <w:name w:val="ListLabel 263"/>
    <w:qFormat/>
    <w:rsid w:val="00385E0E"/>
    <w:rPr>
      <w:u w:val="none"/>
    </w:rPr>
  </w:style>
  <w:style w:type="character" w:customStyle="1" w:styleId="ListLabel264">
    <w:name w:val="ListLabel 264"/>
    <w:qFormat/>
    <w:rsid w:val="00385E0E"/>
    <w:rPr>
      <w:u w:val="none"/>
    </w:rPr>
  </w:style>
  <w:style w:type="character" w:customStyle="1" w:styleId="ListLabel265">
    <w:name w:val="ListLabel 265"/>
    <w:qFormat/>
    <w:rsid w:val="00385E0E"/>
    <w:rPr>
      <w:u w:val="none"/>
    </w:rPr>
  </w:style>
  <w:style w:type="character" w:customStyle="1" w:styleId="ListLabel266">
    <w:name w:val="ListLabel 266"/>
    <w:qFormat/>
    <w:rsid w:val="00385E0E"/>
    <w:rPr>
      <w:u w:val="none"/>
    </w:rPr>
  </w:style>
  <w:style w:type="character" w:customStyle="1" w:styleId="ListLabel267">
    <w:name w:val="ListLabel 267"/>
    <w:qFormat/>
    <w:rsid w:val="00385E0E"/>
    <w:rPr>
      <w:u w:val="none"/>
    </w:rPr>
  </w:style>
  <w:style w:type="character" w:customStyle="1" w:styleId="ListLabel268">
    <w:name w:val="ListLabel 268"/>
    <w:qFormat/>
    <w:rsid w:val="00385E0E"/>
    <w:rPr>
      <w:u w:val="none"/>
    </w:rPr>
  </w:style>
  <w:style w:type="character" w:customStyle="1" w:styleId="ListLabel269">
    <w:name w:val="ListLabel 269"/>
    <w:qFormat/>
    <w:rsid w:val="00385E0E"/>
    <w:rPr>
      <w:u w:val="none"/>
    </w:rPr>
  </w:style>
  <w:style w:type="character" w:customStyle="1" w:styleId="ListLabel270">
    <w:name w:val="ListLabel 270"/>
    <w:qFormat/>
    <w:rsid w:val="00385E0E"/>
    <w:rPr>
      <w:u w:val="none"/>
    </w:rPr>
  </w:style>
  <w:style w:type="character" w:customStyle="1" w:styleId="ListLabel271">
    <w:name w:val="ListLabel 271"/>
    <w:qFormat/>
    <w:rsid w:val="00385E0E"/>
    <w:rPr>
      <w:u w:val="none"/>
    </w:rPr>
  </w:style>
  <w:style w:type="character" w:customStyle="1" w:styleId="ListLabel272">
    <w:name w:val="ListLabel 272"/>
    <w:qFormat/>
    <w:rsid w:val="00385E0E"/>
    <w:rPr>
      <w:u w:val="none"/>
    </w:rPr>
  </w:style>
  <w:style w:type="character" w:customStyle="1" w:styleId="ListLabel273">
    <w:name w:val="ListLabel 273"/>
    <w:qFormat/>
    <w:rsid w:val="00385E0E"/>
    <w:rPr>
      <w:u w:val="none"/>
    </w:rPr>
  </w:style>
  <w:style w:type="character" w:customStyle="1" w:styleId="ListLabel274">
    <w:name w:val="ListLabel 274"/>
    <w:qFormat/>
    <w:rsid w:val="00385E0E"/>
    <w:rPr>
      <w:u w:val="none"/>
    </w:rPr>
  </w:style>
  <w:style w:type="character" w:customStyle="1" w:styleId="ListLabel275">
    <w:name w:val="ListLabel 275"/>
    <w:qFormat/>
    <w:rsid w:val="00385E0E"/>
    <w:rPr>
      <w:u w:val="none"/>
    </w:rPr>
  </w:style>
  <w:style w:type="character" w:customStyle="1" w:styleId="ListLabel276">
    <w:name w:val="ListLabel 276"/>
    <w:qFormat/>
    <w:rsid w:val="00385E0E"/>
    <w:rPr>
      <w:u w:val="none"/>
    </w:rPr>
  </w:style>
  <w:style w:type="character" w:customStyle="1" w:styleId="ListLabel277">
    <w:name w:val="ListLabel 277"/>
    <w:qFormat/>
    <w:rsid w:val="00385E0E"/>
    <w:rPr>
      <w:u w:val="none"/>
    </w:rPr>
  </w:style>
  <w:style w:type="character" w:customStyle="1" w:styleId="ListLabel278">
    <w:name w:val="ListLabel 278"/>
    <w:qFormat/>
    <w:rsid w:val="00385E0E"/>
    <w:rPr>
      <w:u w:val="none"/>
    </w:rPr>
  </w:style>
  <w:style w:type="character" w:customStyle="1" w:styleId="ListLabel279">
    <w:name w:val="ListLabel 279"/>
    <w:qFormat/>
    <w:rsid w:val="00385E0E"/>
    <w:rPr>
      <w:u w:val="none"/>
    </w:rPr>
  </w:style>
  <w:style w:type="character" w:customStyle="1" w:styleId="ListLabel280">
    <w:name w:val="ListLabel 280"/>
    <w:qFormat/>
    <w:rsid w:val="00385E0E"/>
    <w:rPr>
      <w:rFonts w:ascii="Calibri" w:hAnsi="Calibri"/>
      <w:u w:val="none"/>
    </w:rPr>
  </w:style>
  <w:style w:type="character" w:customStyle="1" w:styleId="ListLabel281">
    <w:name w:val="ListLabel 281"/>
    <w:qFormat/>
    <w:rsid w:val="00385E0E"/>
    <w:rPr>
      <w:u w:val="none"/>
    </w:rPr>
  </w:style>
  <w:style w:type="character" w:customStyle="1" w:styleId="ListLabel282">
    <w:name w:val="ListLabel 282"/>
    <w:qFormat/>
    <w:rsid w:val="00385E0E"/>
    <w:rPr>
      <w:u w:val="none"/>
    </w:rPr>
  </w:style>
  <w:style w:type="character" w:customStyle="1" w:styleId="ListLabel283">
    <w:name w:val="ListLabel 283"/>
    <w:qFormat/>
    <w:rsid w:val="00385E0E"/>
    <w:rPr>
      <w:u w:val="none"/>
    </w:rPr>
  </w:style>
  <w:style w:type="character" w:customStyle="1" w:styleId="ListLabel284">
    <w:name w:val="ListLabel 284"/>
    <w:qFormat/>
    <w:rsid w:val="00385E0E"/>
    <w:rPr>
      <w:u w:val="none"/>
    </w:rPr>
  </w:style>
  <w:style w:type="character" w:customStyle="1" w:styleId="ListLabel285">
    <w:name w:val="ListLabel 285"/>
    <w:qFormat/>
    <w:rsid w:val="00385E0E"/>
    <w:rPr>
      <w:u w:val="none"/>
    </w:rPr>
  </w:style>
  <w:style w:type="character" w:customStyle="1" w:styleId="ListLabel286">
    <w:name w:val="ListLabel 286"/>
    <w:qFormat/>
    <w:rsid w:val="00385E0E"/>
    <w:rPr>
      <w:u w:val="none"/>
    </w:rPr>
  </w:style>
  <w:style w:type="character" w:customStyle="1" w:styleId="ListLabel287">
    <w:name w:val="ListLabel 287"/>
    <w:qFormat/>
    <w:rsid w:val="00385E0E"/>
    <w:rPr>
      <w:u w:val="none"/>
    </w:rPr>
  </w:style>
  <w:style w:type="character" w:customStyle="1" w:styleId="ListLabel288">
    <w:name w:val="ListLabel 288"/>
    <w:qFormat/>
    <w:rsid w:val="00385E0E"/>
    <w:rPr>
      <w:u w:val="none"/>
    </w:rPr>
  </w:style>
  <w:style w:type="character" w:customStyle="1" w:styleId="ListLabel289">
    <w:name w:val="ListLabel 289"/>
    <w:qFormat/>
    <w:rsid w:val="00385E0E"/>
    <w:rPr>
      <w:u w:val="none"/>
    </w:rPr>
  </w:style>
  <w:style w:type="character" w:customStyle="1" w:styleId="ListLabel290">
    <w:name w:val="ListLabel 290"/>
    <w:qFormat/>
    <w:rsid w:val="00385E0E"/>
    <w:rPr>
      <w:u w:val="none"/>
    </w:rPr>
  </w:style>
  <w:style w:type="character" w:customStyle="1" w:styleId="ListLabel291">
    <w:name w:val="ListLabel 291"/>
    <w:qFormat/>
    <w:rsid w:val="00385E0E"/>
    <w:rPr>
      <w:u w:val="none"/>
    </w:rPr>
  </w:style>
  <w:style w:type="character" w:customStyle="1" w:styleId="ListLabel292">
    <w:name w:val="ListLabel 292"/>
    <w:qFormat/>
    <w:rsid w:val="00385E0E"/>
    <w:rPr>
      <w:u w:val="none"/>
    </w:rPr>
  </w:style>
  <w:style w:type="character" w:customStyle="1" w:styleId="ListLabel293">
    <w:name w:val="ListLabel 293"/>
    <w:qFormat/>
    <w:rsid w:val="00385E0E"/>
    <w:rPr>
      <w:u w:val="none"/>
    </w:rPr>
  </w:style>
  <w:style w:type="character" w:customStyle="1" w:styleId="ListLabel294">
    <w:name w:val="ListLabel 294"/>
    <w:qFormat/>
    <w:rsid w:val="00385E0E"/>
    <w:rPr>
      <w:u w:val="none"/>
    </w:rPr>
  </w:style>
  <w:style w:type="character" w:customStyle="1" w:styleId="ListLabel295">
    <w:name w:val="ListLabel 295"/>
    <w:qFormat/>
    <w:rsid w:val="00385E0E"/>
    <w:rPr>
      <w:u w:val="none"/>
    </w:rPr>
  </w:style>
  <w:style w:type="character" w:customStyle="1" w:styleId="ListLabel296">
    <w:name w:val="ListLabel 296"/>
    <w:qFormat/>
    <w:rsid w:val="00385E0E"/>
    <w:rPr>
      <w:u w:val="none"/>
    </w:rPr>
  </w:style>
  <w:style w:type="character" w:customStyle="1" w:styleId="ListLabel297">
    <w:name w:val="ListLabel 297"/>
    <w:qFormat/>
    <w:rsid w:val="00385E0E"/>
    <w:rPr>
      <w:u w:val="none"/>
    </w:rPr>
  </w:style>
  <w:style w:type="character" w:customStyle="1" w:styleId="ListLabel298">
    <w:name w:val="ListLabel 298"/>
    <w:qFormat/>
    <w:rsid w:val="00385E0E"/>
    <w:rPr>
      <w:u w:val="none"/>
    </w:rPr>
  </w:style>
  <w:style w:type="character" w:customStyle="1" w:styleId="ListLabel299">
    <w:name w:val="ListLabel 299"/>
    <w:qFormat/>
    <w:rsid w:val="00385E0E"/>
    <w:rPr>
      <w:u w:val="none"/>
    </w:rPr>
  </w:style>
  <w:style w:type="character" w:customStyle="1" w:styleId="ListLabel300">
    <w:name w:val="ListLabel 300"/>
    <w:qFormat/>
    <w:rsid w:val="00385E0E"/>
    <w:rPr>
      <w:u w:val="none"/>
    </w:rPr>
  </w:style>
  <w:style w:type="character" w:customStyle="1" w:styleId="ListLabel301">
    <w:name w:val="ListLabel 301"/>
    <w:qFormat/>
    <w:rsid w:val="00385E0E"/>
    <w:rPr>
      <w:u w:val="none"/>
    </w:rPr>
  </w:style>
  <w:style w:type="character" w:customStyle="1" w:styleId="ListLabel302">
    <w:name w:val="ListLabel 302"/>
    <w:qFormat/>
    <w:rsid w:val="00385E0E"/>
    <w:rPr>
      <w:u w:val="none"/>
    </w:rPr>
  </w:style>
  <w:style w:type="character" w:customStyle="1" w:styleId="ListLabel303">
    <w:name w:val="ListLabel 303"/>
    <w:qFormat/>
    <w:rsid w:val="00385E0E"/>
    <w:rPr>
      <w:u w:val="none"/>
    </w:rPr>
  </w:style>
  <w:style w:type="character" w:customStyle="1" w:styleId="ListLabel304">
    <w:name w:val="ListLabel 304"/>
    <w:qFormat/>
    <w:rsid w:val="00385E0E"/>
    <w:rPr>
      <w:u w:val="none"/>
    </w:rPr>
  </w:style>
  <w:style w:type="character" w:customStyle="1" w:styleId="ListLabel305">
    <w:name w:val="ListLabel 305"/>
    <w:qFormat/>
    <w:rsid w:val="00385E0E"/>
    <w:rPr>
      <w:u w:val="none"/>
    </w:rPr>
  </w:style>
  <w:style w:type="character" w:customStyle="1" w:styleId="ListLabel306">
    <w:name w:val="ListLabel 306"/>
    <w:qFormat/>
    <w:rsid w:val="00385E0E"/>
    <w:rPr>
      <w:u w:val="none"/>
    </w:rPr>
  </w:style>
  <w:style w:type="character" w:customStyle="1" w:styleId="ListLabel307">
    <w:name w:val="ListLabel 307"/>
    <w:qFormat/>
    <w:rsid w:val="00385E0E"/>
    <w:rPr>
      <w:rFonts w:ascii="Calibri" w:eastAsia="Calibri" w:hAnsi="Calibri" w:cs="Calibri"/>
      <w:u w:val="single"/>
    </w:rPr>
  </w:style>
  <w:style w:type="character" w:customStyle="1" w:styleId="czeinternetowe">
    <w:name w:val="Łącze internetowe"/>
    <w:rsid w:val="00385E0E"/>
    <w:rPr>
      <w:color w:val="000080"/>
      <w:u w:val="single"/>
    </w:rPr>
  </w:style>
  <w:style w:type="character" w:customStyle="1" w:styleId="Znakiwypunktowania">
    <w:name w:val="Znaki wypunktowania"/>
    <w:qFormat/>
    <w:rsid w:val="00385E0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385E0E"/>
  </w:style>
  <w:style w:type="paragraph" w:styleId="Tekstpodstawowy">
    <w:name w:val="Body Text"/>
    <w:basedOn w:val="Normalny"/>
    <w:rsid w:val="00385E0E"/>
    <w:pPr>
      <w:spacing w:after="140"/>
    </w:pPr>
  </w:style>
  <w:style w:type="paragraph" w:styleId="Lista">
    <w:name w:val="List"/>
    <w:basedOn w:val="Tekstpodstawowy"/>
    <w:rsid w:val="00385E0E"/>
  </w:style>
  <w:style w:type="paragraph" w:styleId="Legenda">
    <w:name w:val="caption"/>
    <w:basedOn w:val="Normalny"/>
    <w:qFormat/>
    <w:rsid w:val="00385E0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85E0E"/>
    <w:pPr>
      <w:suppressLineNumbers/>
    </w:pPr>
  </w:style>
  <w:style w:type="paragraph" w:customStyle="1" w:styleId="LO-normal">
    <w:name w:val="LO-normal"/>
    <w:qFormat/>
    <w:rsid w:val="00385E0E"/>
  </w:style>
  <w:style w:type="paragraph" w:styleId="Tytu">
    <w:name w:val="Title"/>
    <w:basedOn w:val="LO-normal"/>
    <w:next w:val="Normalny"/>
    <w:qFormat/>
    <w:rsid w:val="00385E0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rsid w:val="00385E0E"/>
    <w:pPr>
      <w:keepNext/>
      <w:keepLines/>
      <w:spacing w:after="320"/>
    </w:pPr>
    <w:rPr>
      <w:color w:val="666666"/>
      <w:sz w:val="30"/>
      <w:szCs w:val="30"/>
    </w:rPr>
  </w:style>
  <w:style w:type="paragraph" w:styleId="Stopka">
    <w:name w:val="footer"/>
    <w:basedOn w:val="Normalny"/>
    <w:rsid w:val="00385E0E"/>
  </w:style>
  <w:style w:type="paragraph" w:styleId="Tekstdymka">
    <w:name w:val="Balloon Text"/>
    <w:basedOn w:val="Normalny"/>
    <w:link w:val="TekstdymkaZnak"/>
    <w:uiPriority w:val="99"/>
    <w:semiHidden/>
    <w:unhideWhenUsed/>
    <w:rsid w:val="0007589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9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mrie.org.pl/pliki/akty-prawne-i-rekomendacje/rekomentacje/algorytmy-w-nieplodnosci-2011-06-06.pdf" TargetMode="External"/><Relationship Id="rId13" Type="http://schemas.openxmlformats.org/officeDocument/2006/relationships/hyperlink" Target="http://www.ptmrie.org.pl/sekcje-ptmrie/sekcja-embriologow/artykuly-naukowe-czlonkow-ptmrie-publikacje-ze-swiata/prezentacja-wyniki-leczenia-nieplodnosci-raport-eim-za-2014-ro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tmrie.org.pl/sekcje-ptmrie/sekcja-embriologow/artykuly-naukowe-czlonkow-ptmrie-publikacje-ze-swiata/prezentacja-wyniki-leczenia-nieplodnosci-raport-eim-za-2014-ro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mrie.org.pl/pliki/akty-prawne-i-rekomendacje/stanowiska/zalecane-postepowanie-terapeutyczne-w-rozrodzie-wspomaganym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tmrie.org.pl/pliki/akty-prawne-i-rekomendacje/rekomentacje/rekomendacje%20SPiN%20i%20PTMR%202012%20rok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tmrie.org.pl/pliki/akty-prawne-i-rekomendacje/rekomentacje/rekomendacje%20SPiN%20i%20PTMR%202012%20rok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20</Pages>
  <Words>7334</Words>
  <Characters>44008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mferenc</cp:lastModifiedBy>
  <cp:revision>14</cp:revision>
  <cp:lastPrinted>2022-09-21T12:32:00Z</cp:lastPrinted>
  <dcterms:created xsi:type="dcterms:W3CDTF">2022-09-21T10:46:00Z</dcterms:created>
  <dcterms:modified xsi:type="dcterms:W3CDTF">2022-09-21T13:08:00Z</dcterms:modified>
  <dc:language>pl-PL</dc:language>
</cp:coreProperties>
</file>